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May 19, 2025</w:t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785"/>
        <w:gridCol w:w="345"/>
        <w:gridCol w:w="1695"/>
        <w:gridCol w:w="2370"/>
        <w:gridCol w:w="1620"/>
        <w:tblGridChange w:id="0">
          <w:tblGrid>
            <w:gridCol w:w="450"/>
            <w:gridCol w:w="1785"/>
            <w:gridCol w:w="34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Nyman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Hulette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Hill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Wortham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Chinnis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Mangum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Book order approval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Grade level concerns (none!)</w:t>
      </w:r>
    </w:p>
    <w:p w:rsidR="00000000" w:rsidDel="00000000" w:rsidP="00000000" w:rsidRDefault="00000000" w:rsidRPr="00000000" w14:paraId="0000001F">
      <w:pPr>
        <w:ind w:left="0" w:firstLine="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Greene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NC Star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center"/>
        <w:rPr>
          <w:rFonts w:ascii="Lexend Black" w:cs="Lexend Black" w:eastAsia="Lexend Black" w:hAnsi="Lexend Black"/>
          <w:color w:val="ff0000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This is the last meeting for the 2024-2025 school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exend Black" w:cs="Lexend Black" w:eastAsia="Lexend Black" w:hAnsi="Lexend Black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Hulette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Jacobsen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i w:val="1"/>
          <w:sz w:val="24"/>
          <w:szCs w:val="24"/>
          <w:rtl w:val="0"/>
        </w:rPr>
        <w:t xml:space="preserve">Members present need to sign printed notes by Friday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