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Site Base September 25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Members Present: Dana Zapadka, Jennifer Myers, Donna Thomas, Amy Chabot, Becky Vaughan, Tammy Brink, Trish Walker, Lisa Splawn, Tanya Crisco, Lesa Williams, Jo Maness, Parks Drake, Lori Stalcup, Evans, Brooke Kramb, Breanne Villas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Reviewing NCSTAR and voting on where members feel our school fits 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Suggestions/Concerns: </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Trash can in girl’s bathroom for feminine products (in each stall)</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Sign by bus parking lot to indicate parking is for Sardis staff and/or families only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Car Rider Line:</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To prevent gridlock, possible directional sign indicating that parents can use the roundabout or go straight </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$299 per year, possibly with funds from Turkey Trot, for Car Line Hound (names of students appear on a board)</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Students are missing their cues (numbers and colors)</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Suggestion: 3rd-5th grade students open their own doors to get out of the car in the morning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Staff and Student Dress Code:</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No belly shirts</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No mini-skirts</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Wear leggings appropriately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HVAC:</w:t>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System needs to be checked</w:t>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Concern for mold</w:t>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Filters need to be checked</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Very noisy in some classrooms when system comes 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Bus Duty</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K-5 teachers need to show up to the gym for bus duty in the afternoon</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Teachers that have PE should report for bus duty in the gym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Family Culture Night:</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October 25, 2024 from 5:00-7:00 pm</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Food Trucks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Villas will provide Information for teachers to send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Grades:</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Concerns regarding expectations for grading</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Swack: Inconsistency from classroom to classroom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