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2B" w:rsidRPr="003665CE" w:rsidRDefault="006E042B" w:rsidP="006E042B">
      <w:pPr>
        <w:jc w:val="center"/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3524250" y="457200"/>
            <wp:positionH relativeFrom="column">
              <wp:posOffset>3524250</wp:posOffset>
            </wp:positionH>
            <wp:positionV relativeFrom="paragraph">
              <wp:align>top</wp:align>
            </wp:positionV>
            <wp:extent cx="733425" cy="658937"/>
            <wp:effectExtent l="0" t="0" r="0" b="8255"/>
            <wp:wrapSquare wrapText="bothSides"/>
            <wp:docPr id="2" name="Picture 2" descr="EagleMascot2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Mascot2a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Comic Sans MS" w:hAnsi="Comic Sans MS"/>
          <w:sz w:val="36"/>
          <w:szCs w:val="32"/>
        </w:rPr>
        <w:t>Site Based Agenda: January 10, 2018</w:t>
      </w:r>
    </w:p>
    <w:tbl>
      <w:tblPr>
        <w:tblpPr w:leftFromText="180" w:rightFromText="180" w:vertAnchor="page" w:horzAnchor="page" w:tblpX="1226" w:tblpY="3841"/>
        <w:tblW w:w="101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900"/>
        <w:gridCol w:w="3510"/>
        <w:gridCol w:w="4088"/>
      </w:tblGrid>
      <w:tr w:rsidR="006E042B" w:rsidRPr="005C1A91" w:rsidTr="00F553E2">
        <w:trPr>
          <w:trHeight w:val="315"/>
        </w:trPr>
        <w:tc>
          <w:tcPr>
            <w:tcW w:w="1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42B" w:rsidRPr="005C1A91" w:rsidRDefault="006E042B" w:rsidP="00F553E2">
            <w:pPr>
              <w:jc w:val="center"/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What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42B" w:rsidRPr="005C1A91" w:rsidRDefault="006E042B" w:rsidP="00F553E2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time</w:t>
            </w:r>
          </w:p>
        </w:tc>
        <w:tc>
          <w:tcPr>
            <w:tcW w:w="3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042B" w:rsidRPr="005C1A91" w:rsidRDefault="006E042B" w:rsidP="00F553E2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details</w:t>
            </w:r>
          </w:p>
        </w:tc>
        <w:tc>
          <w:tcPr>
            <w:tcW w:w="4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042B" w:rsidRPr="005C1A91" w:rsidRDefault="006E042B" w:rsidP="00F553E2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notes</w:t>
            </w:r>
          </w:p>
        </w:tc>
      </w:tr>
      <w:tr w:rsidR="006E042B" w:rsidRPr="005C1A91" w:rsidTr="00F553E2">
        <w:trPr>
          <w:trHeight w:val="196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3665CE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Terrence Sanders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>Bo Jennings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6E042B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Whitney Honeycutt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206FF5">
              <w:rPr>
                <w:rFonts w:ascii="Comic Sans MS" w:hAnsi="Comic Sans MS"/>
                <w:strike/>
                <w:sz w:val="20"/>
                <w:szCs w:val="20"/>
              </w:rPr>
              <w:t>Gayle Polk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6E042B" w:rsidRPr="003665CE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 w:rsidRPr="00206FF5">
              <w:rPr>
                <w:rFonts w:ascii="Comic Sans MS" w:hAnsi="Comic Sans MS"/>
                <w:strike/>
                <w:sz w:val="20"/>
                <w:szCs w:val="20"/>
              </w:rPr>
              <w:t>Mallory Bricker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 xml:space="preserve">Janet </w:t>
            </w:r>
            <w:proofErr w:type="spellStart"/>
            <w:r w:rsidRPr="003665CE">
              <w:rPr>
                <w:rFonts w:ascii="Comic Sans MS" w:hAnsi="Comic Sans MS"/>
                <w:sz w:val="20"/>
                <w:szCs w:val="20"/>
              </w:rPr>
              <w:t>Dominico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6E042B" w:rsidRPr="003665CE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 xml:space="preserve">Misty </w:t>
            </w:r>
            <w:proofErr w:type="spellStart"/>
            <w:r w:rsidRPr="003665CE">
              <w:rPr>
                <w:rFonts w:ascii="Comic Sans MS" w:hAnsi="Comic Sans MS"/>
                <w:sz w:val="20"/>
                <w:szCs w:val="20"/>
              </w:rPr>
              <w:t>Tarlton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, </w:t>
            </w:r>
            <w:r w:rsidRPr="003665CE">
              <w:rPr>
                <w:rFonts w:ascii="Comic Sans MS" w:hAnsi="Comic Sans MS"/>
                <w:sz w:val="20"/>
                <w:szCs w:val="20"/>
              </w:rPr>
              <w:t>Alfred Leon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6E042B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Jaime Cassada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>Christopher Eaton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6E042B" w:rsidRPr="003665CE" w:rsidRDefault="006E042B" w:rsidP="00F553E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Melinda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Plue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Angela Davis, Shannon Moore, Seneca Lassiter, Felicia Bailey, Patrick Mobley, Cynthia Green</w:t>
            </w:r>
            <w:r w:rsidR="007B53CA">
              <w:rPr>
                <w:rFonts w:ascii="Comic Sans MS" w:hAnsi="Comic Sans MS"/>
                <w:sz w:val="20"/>
                <w:szCs w:val="20"/>
              </w:rPr>
              <w:t xml:space="preserve">, Doris </w:t>
            </w:r>
            <w:proofErr w:type="spellStart"/>
            <w:r w:rsidR="007B53CA">
              <w:rPr>
                <w:rFonts w:ascii="Comic Sans MS" w:hAnsi="Comic Sans MS"/>
                <w:sz w:val="20"/>
                <w:szCs w:val="20"/>
              </w:rPr>
              <w:t>Buttrell</w:t>
            </w:r>
            <w:proofErr w:type="spellEnd"/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E042B" w:rsidRPr="001E6ED7" w:rsidRDefault="006E042B" w:rsidP="00F553E2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6E042B" w:rsidRPr="005C1A91" w:rsidTr="00F553E2">
        <w:trPr>
          <w:trHeight w:val="70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October minutes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5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Reviewed and voted on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Minutes approved.</w:t>
            </w:r>
          </w:p>
        </w:tc>
      </w:tr>
      <w:tr w:rsidR="006E042B" w:rsidRPr="005C1A91" w:rsidTr="00F553E2">
        <w:trPr>
          <w:trHeight w:val="807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Mid-Year Progress reports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0A67C8" w:rsidRDefault="006E042B" w:rsidP="00F553E2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Mid-Year Progress Report was shared with Dr.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Houlihan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.  Per the report all teachers have had their observations as of Winter Break.  Recruiting Season will begin as teachers are asked for intent form for the 2018-2019 school year.  Finance information was shared.  March 31 is the deadline for money allocations. 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Lassiter presented the question as to why related arts/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pe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 was excluded from the $1750 “bonus”.  Mr. Sanders said he would get more information about the EPIC grant and the reasoning behind this concern.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Mr. Sanders is looking into getting an electronic marque for our school. 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proofErr w:type="spellStart"/>
            <w:r>
              <w:rPr>
                <w:rFonts w:ascii="Comic Sans MS" w:hAnsi="Comic Sans MS"/>
                <w:sz w:val="22"/>
                <w:szCs w:val="20"/>
              </w:rPr>
              <w:t>AdvancEd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 survey results: + governance/leadership, -teaching and assessing for learning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Mrs.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Plue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 presented the question of the % of parent surveys completed and returned.  Parent survey participation for UCPS is around 30%, Mr. Sanders asked if the survey is paper/pencil.  Survey is currently paper pencil.  Looking into presenting the survey in another format is necessary.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School proficiency was discusses and the plan is for Saturday Academy to help with those students who are on the -3/+3 within the range of a LEVEL 3. Saturday Academy will begin on Feb. 3.  Letters will be sent home. 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New BMT will be hired by the end of the week.  A 4</w:t>
            </w:r>
            <w:r w:rsidRPr="00AA6E70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 xml:space="preserve"> administrator will be hired. 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Mrs.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Plue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 asked how this is possible. Approved by Dr.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Houlihan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 xml:space="preserve"> after asked for by Mr. Sanders.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Community Outreach will be on the plate of the 4</w:t>
            </w:r>
            <w:r w:rsidRPr="00255876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 xml:space="preserve"> administrator.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Out of School Suspensions –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Safe and </w:t>
            </w:r>
            <w:proofErr w:type="gramStart"/>
            <w:r>
              <w:rPr>
                <w:rFonts w:ascii="Comic Sans MS" w:hAnsi="Comic Sans MS"/>
                <w:sz w:val="22"/>
                <w:szCs w:val="20"/>
              </w:rPr>
              <w:t>Civil Schools</w:t>
            </w:r>
            <w:proofErr w:type="gramEnd"/>
            <w:r>
              <w:rPr>
                <w:rFonts w:ascii="Comic Sans MS" w:hAnsi="Comic Sans MS"/>
                <w:sz w:val="22"/>
                <w:szCs w:val="20"/>
              </w:rPr>
              <w:t xml:space="preserve"> training – BMT’s will check in (daily) with our top 10 children with discipline records in all 3 grade levels.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6E042B" w:rsidRPr="005C1A91" w:rsidTr="00F553E2">
        <w:trPr>
          <w:trHeight w:val="780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lastRenderedPageBreak/>
              <w:t>Mission, Vision , and Values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15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Do our mission and vision align with our ACADEMY?  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Committee Members were asked to go away from the meeting and bring ideas for the next meeting for possible academy naming.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Wingate University will be involved in our Academy.</w:t>
            </w:r>
          </w:p>
        </w:tc>
      </w:tr>
      <w:tr w:rsidR="006E042B" w:rsidRPr="005C1A91" w:rsidTr="00F553E2">
        <w:trPr>
          <w:trHeight w:val="61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lastRenderedPageBreak/>
              <w:t xml:space="preserve">Dress Code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20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Dress Code helps keep theft down.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Helps with identifying grade levels and if students are not where they need to be.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Not enough consistency with teachers and students about the Dress Code.  Noted by parents and teachers.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Dress code limits fashion/individuality among students.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Clear Expectations need to be set. If uniform policy is to stay in place, maybe a vendor should be located to make it work for parents.</w:t>
            </w:r>
          </w:p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Student leadership will provide feedback on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dresscode</w:t>
            </w:r>
            <w:proofErr w:type="spellEnd"/>
            <w:r>
              <w:rPr>
                <w:rFonts w:ascii="Comic Sans MS" w:hAnsi="Comic Sans MS"/>
                <w:sz w:val="22"/>
                <w:szCs w:val="20"/>
              </w:rPr>
              <w:t>.  Data will be collected to share for next meeting.</w:t>
            </w:r>
          </w:p>
        </w:tc>
      </w:tr>
      <w:tr w:rsidR="006E042B" w:rsidRPr="005C1A91" w:rsidTr="00F553E2">
        <w:trPr>
          <w:trHeight w:val="61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Any concerns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42B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6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7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8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Related Arts, Counselors, EC, Admin., Parents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042B" w:rsidRPr="005C1A91" w:rsidRDefault="006E042B" w:rsidP="00F553E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No other concerns.</w:t>
            </w:r>
          </w:p>
        </w:tc>
      </w:tr>
    </w:tbl>
    <w:p w:rsidR="00253188" w:rsidRDefault="005609A0"/>
    <w:sectPr w:rsidR="00253188" w:rsidSect="006E042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A0" w:rsidRDefault="005609A0" w:rsidP="006E042B">
      <w:r>
        <w:separator/>
      </w:r>
    </w:p>
  </w:endnote>
  <w:endnote w:type="continuationSeparator" w:id="0">
    <w:p w:rsidR="005609A0" w:rsidRDefault="005609A0" w:rsidP="006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A0" w:rsidRDefault="005609A0" w:rsidP="006E042B">
      <w:r>
        <w:separator/>
      </w:r>
    </w:p>
  </w:footnote>
  <w:footnote w:type="continuationSeparator" w:id="0">
    <w:p w:rsidR="005609A0" w:rsidRDefault="005609A0" w:rsidP="006E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2B" w:rsidRPr="006E042B" w:rsidRDefault="006E042B" w:rsidP="006E042B">
    <w:pPr>
      <w:pStyle w:val="ListParagraph"/>
      <w:numPr>
        <w:ilvl w:val="0"/>
        <w:numId w:val="2"/>
      </w:numPr>
      <w:rPr>
        <w:rFonts w:ascii="Comic Sans MS" w:hAnsi="Comic Sans MS"/>
        <w:sz w:val="16"/>
        <w:szCs w:val="20"/>
      </w:rPr>
    </w:pPr>
    <w:r w:rsidRPr="006E042B">
      <w:rPr>
        <w:rFonts w:ascii="Comic Sans MS" w:hAnsi="Comic Sans MS"/>
        <w:sz w:val="16"/>
        <w:szCs w:val="20"/>
      </w:rPr>
      <w:t>NO phones</w:t>
    </w:r>
  </w:p>
  <w:p w:rsidR="006E042B" w:rsidRPr="006E042B" w:rsidRDefault="006E042B" w:rsidP="006E042B">
    <w:pPr>
      <w:pStyle w:val="ListParagraph"/>
      <w:numPr>
        <w:ilvl w:val="0"/>
        <w:numId w:val="2"/>
      </w:numPr>
      <w:rPr>
        <w:rFonts w:ascii="Comic Sans MS" w:hAnsi="Comic Sans MS"/>
        <w:sz w:val="16"/>
        <w:szCs w:val="20"/>
      </w:rPr>
    </w:pPr>
    <w:r w:rsidRPr="006E042B">
      <w:rPr>
        <w:rFonts w:ascii="Comic Sans MS" w:hAnsi="Comic Sans MS"/>
        <w:sz w:val="16"/>
        <w:szCs w:val="20"/>
      </w:rPr>
      <w:t>NO sidebar communication (talking, writing notes, sign language) “SIDEBAR” will be refocus word</w:t>
    </w:r>
  </w:p>
  <w:p w:rsidR="006E042B" w:rsidRPr="006E042B" w:rsidRDefault="006E042B" w:rsidP="006E042B">
    <w:pPr>
      <w:pStyle w:val="ListParagraph"/>
      <w:numPr>
        <w:ilvl w:val="0"/>
        <w:numId w:val="2"/>
      </w:numPr>
      <w:rPr>
        <w:rFonts w:ascii="Comic Sans MS" w:hAnsi="Comic Sans MS"/>
        <w:sz w:val="16"/>
        <w:szCs w:val="20"/>
      </w:rPr>
    </w:pPr>
    <w:r w:rsidRPr="006E042B">
      <w:rPr>
        <w:rFonts w:ascii="Comic Sans MS" w:hAnsi="Comic Sans MS"/>
        <w:sz w:val="16"/>
        <w:szCs w:val="20"/>
      </w:rPr>
      <w:t>Reminders for meeting times</w:t>
    </w:r>
  </w:p>
  <w:p w:rsidR="006E042B" w:rsidRPr="006E042B" w:rsidRDefault="006E042B" w:rsidP="006E042B">
    <w:pPr>
      <w:pStyle w:val="ListParagraph"/>
      <w:numPr>
        <w:ilvl w:val="0"/>
        <w:numId w:val="2"/>
      </w:numPr>
      <w:rPr>
        <w:rFonts w:ascii="Comic Sans MS" w:hAnsi="Comic Sans MS"/>
        <w:sz w:val="16"/>
        <w:szCs w:val="20"/>
      </w:rPr>
    </w:pPr>
    <w:r w:rsidRPr="006E042B">
      <w:rPr>
        <w:rFonts w:ascii="Comic Sans MS" w:hAnsi="Comic Sans MS"/>
        <w:sz w:val="16"/>
        <w:szCs w:val="20"/>
      </w:rPr>
      <w:t>Stick to Start and End Times</w:t>
    </w:r>
  </w:p>
  <w:p w:rsidR="006E042B" w:rsidRPr="006E042B" w:rsidRDefault="006E042B" w:rsidP="006E042B">
    <w:pPr>
      <w:pStyle w:val="ListParagraph"/>
      <w:numPr>
        <w:ilvl w:val="0"/>
        <w:numId w:val="2"/>
      </w:numPr>
      <w:rPr>
        <w:rFonts w:ascii="Comic Sans MS" w:hAnsi="Comic Sans MS"/>
        <w:sz w:val="16"/>
        <w:szCs w:val="20"/>
      </w:rPr>
    </w:pPr>
    <w:r w:rsidRPr="006E042B">
      <w:rPr>
        <w:rFonts w:ascii="Comic Sans MS" w:hAnsi="Comic Sans MS"/>
        <w:sz w:val="16"/>
        <w:szCs w:val="20"/>
      </w:rPr>
      <w:t>Stick to agenda/stay on topic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C8D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5293E"/>
    <w:multiLevelType w:val="hybridMultilevel"/>
    <w:tmpl w:val="5682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2B"/>
    <w:rsid w:val="003970C2"/>
    <w:rsid w:val="003B1AF4"/>
    <w:rsid w:val="0047200B"/>
    <w:rsid w:val="005609A0"/>
    <w:rsid w:val="005D5D60"/>
    <w:rsid w:val="006E042B"/>
    <w:rsid w:val="007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AA36"/>
  <w15:chartTrackingRefBased/>
  <w15:docId w15:val="{3546A31C-6ED9-4B1E-B414-6EEECCD9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6E042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4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0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2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042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E042B"/>
  </w:style>
  <w:style w:type="paragraph" w:styleId="BalloonText">
    <w:name w:val="Balloon Text"/>
    <w:basedOn w:val="Normal"/>
    <w:link w:val="BalloonTextChar"/>
    <w:uiPriority w:val="99"/>
    <w:semiHidden/>
    <w:unhideWhenUsed/>
    <w:rsid w:val="007B5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Honeycutt</dc:creator>
  <cp:keywords/>
  <dc:description/>
  <cp:lastModifiedBy>Whitney Honeycutt</cp:lastModifiedBy>
  <cp:revision>3</cp:revision>
  <cp:lastPrinted>2018-02-14T20:33:00Z</cp:lastPrinted>
  <dcterms:created xsi:type="dcterms:W3CDTF">2018-01-11T21:18:00Z</dcterms:created>
  <dcterms:modified xsi:type="dcterms:W3CDTF">2018-02-14T22:28:00Z</dcterms:modified>
</cp:coreProperties>
</file>