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October 9th, 2024</w:t>
      </w:r>
    </w:p>
    <w:p w:rsidR="00000000" w:rsidDel="00000000" w:rsidP="00000000" w:rsidRDefault="00000000" w:rsidRPr="00000000" w14:paraId="00000002">
      <w:pPr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Members Present: Meagan Plyler (3rd) Jennifer Hinson Pre K  Emily Horner (K) Jennifer Stephenson (1) Angela Bush (Specials)  Joe San Felippo (4th), Sokeye (5th), Stephanie Muller (Parent Rep)Lori Barbaryka(2), Jamie Hunt (principal),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Tiffany McKinney</w:t>
        </w:r>
      </w:hyperlink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(assistant principal)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Oxygen" w:cs="Oxygen" w:eastAsia="Oxygen" w:hAnsi="Oxygen"/>
          <w:sz w:val="24"/>
          <w:szCs w:val="24"/>
          <w:u w:val="singl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u w:val="single"/>
          <w:rtl w:val="0"/>
        </w:rPr>
        <w:t xml:space="preserve">School Data Updates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xygen" w:cs="Oxygen" w:eastAsia="Oxygen" w:hAnsi="Oxyge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Data was shared for the beginning of year Mclass and iReady benchmark assessment data. Behavior data was shared for August-October and compared to the prior school year.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Oxygen" w:cs="Oxygen" w:eastAsia="Oxygen" w:hAnsi="Oxygen"/>
          <w:sz w:val="24"/>
          <w:szCs w:val="24"/>
          <w:u w:val="singl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u w:val="single"/>
          <w:rtl w:val="0"/>
        </w:rPr>
        <w:t xml:space="preserve">Teacher Working Conditions Survey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Review  of 2024 EOY and 2024 BOY survey results to look for growth, maintenance and needs for improvement.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Oxygen" w:cs="Oxygen" w:eastAsia="Oxygen" w:hAnsi="Oxygen"/>
          <w:sz w:val="24"/>
          <w:szCs w:val="24"/>
          <w:u w:val="singl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u w:val="single"/>
          <w:rtl w:val="0"/>
        </w:rPr>
        <w:t xml:space="preserve">Sub Committee Updates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Oxygen" w:cs="Oxygen" w:eastAsia="Oxygen" w:hAnsi="Oxyge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Increase student proficiency in literacy and close the gap in K-2 to 3-5 literacy: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rPr>
          <w:rFonts w:ascii="Oxygen" w:cs="Oxygen" w:eastAsia="Oxygen" w:hAnsi="Oxygen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reading proficiency. Action- mclass, schoolnet, probes, progress monitoring for tier and whole class (mclass), Root- Cause Analysis, school literacy night, IA training on UFLI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Students will understand and follow the student code of conduct in order to maintain a safe learning environment for all: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More proactive approach to expectations in setting, professional development on behavior coding, RCA application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Increase math proficiency: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color w:val="242424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42424"/>
          <w:sz w:val="26"/>
          <w:szCs w:val="26"/>
          <w:highlight w:val="white"/>
          <w:rtl w:val="0"/>
        </w:rPr>
        <w:t xml:space="preserve">Goal-increase math proficiency-action-K-5 vertical planning meeting on 10/2/24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242424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42424"/>
          <w:sz w:val="26"/>
          <w:szCs w:val="26"/>
          <w:highlight w:val="white"/>
          <w:rtl w:val="0"/>
        </w:rPr>
        <w:t xml:space="preserve">Goal-increase math proficiency - action - Gathering grade level feedback from other teachers on how they are using data, math fluency challenges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Increase science proficiency: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Goal: Prioritize science time  in the classroom</w:t>
      </w:r>
    </w:p>
    <w:p w:rsidR="00000000" w:rsidDel="00000000" w:rsidP="00000000" w:rsidRDefault="00000000" w:rsidRPr="00000000" w14:paraId="0000001B">
      <w:pPr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Encourage all grade levels to prioritize science instruction in the classroom, Generation Genius purchased for the whole school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xyge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iffany.mckinney@ucps.k12.nc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