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44"/>
        <w:gridCol w:w="141"/>
        <w:gridCol w:w="12225"/>
        <w:gridCol w:w="45"/>
        <w:gridCol w:w="2195"/>
        <w:gridCol w:w="53"/>
        <w:gridCol w:w="114"/>
        <w:gridCol w:w="11"/>
      </w:tblGrid>
      <w:tr>
        <w:trPr>
          <w:trHeight w:val="486"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8"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vMerge w:val="restart"/>
          </w:tcPr>
          <w:tbl>
            <w:tblPr>
              <w:tblCellMar>
                <w:top w:w="0" w:type="dxa"/>
                <w:left w:w="0" w:type="dxa"/>
                <w:bottom w:w="0" w:type="dxa"/>
                <w:right w:w="0" w:type="dxa"/>
              </w:tblCellMar>
            </w:tblPr>
            <w:tblGrid>
              <w:gridCol w:w="2195"/>
            </w:tblGrid>
            <w:tr>
              <w:trPr>
                <w:trHeight w:val="282" w:hRule="atLeast"/>
              </w:trPr>
              <w:tc>
                <w:tcPr>
                  <w:tcW w:w="219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right"/>
                  </w:pPr>
                  <w:r>
                    <w:rPr>
                      <w:rFonts w:ascii="Calibri" w:hAnsi="Calibri" w:eastAsia="Calibri"/>
                      <w:b/>
                      <w:color w:val="808080"/>
                      <w:sz w:val="22"/>
                    </w:rPr>
                    <w:t xml:space="preserve">3/4/2025</w:t>
                  </w:r>
                </w:p>
              </w:tc>
            </w:tr>
          </w:tbl>
          <w:p>
            <w:pPr>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351" w:hRule="atLeast"/>
        </w:trPr>
        <w:tc>
          <w:tcPr>
            <w:tcW w:w="344" w:type="dxa"/>
            <w:hMerge w:val="restart"/>
            <w:vMerge w:val="restart"/>
          </w:tcPr>
          <w:tbl>
            <w:tblPr>
              <w:tblCellMar>
                <w:top w:w="0" w:type="dxa"/>
                <w:left w:w="0" w:type="dxa"/>
                <w:bottom w:w="0" w:type="dxa"/>
                <w:right w:w="0" w:type="dxa"/>
              </w:tblCellMar>
            </w:tblPr>
            <w:tblGrid>
              <w:gridCol w:w="12711"/>
            </w:tblGrid>
            <w:tr>
              <w:trPr>
                <w:trHeight w:val="282" w:hRule="atLeast"/>
              </w:trPr>
              <w:tc>
                <w:tcPr>
                  <w:tcW w:w="12711"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b/>
                      <w:color w:val="000000"/>
                      <w:sz w:val="22"/>
                    </w:rPr>
                    <w:t xml:space="preserve">Shiloh Valley Elementary</w:t>
                  </w:r>
                </w:p>
              </w:tc>
            </w:tr>
          </w:tbl>
          <w:p>
            <w:pPr>
              <w:spacing w:after="0" w:line="240" w:lineRule="auto"/>
            </w:pPr>
          </w:p>
        </w:tc>
        <w:tc>
          <w:tcPr>
            <w:tcW w:w="141" w:type="dxa"/>
            <w:hMerge w:val="continue"/>
            <w:vMerge w:val="restart"/>
          </w:tcPr>
          <w:p>
            <w:pPr>
              <w:pStyle w:val="EmptyCellLayoutStyle"/>
              <w:spacing w:after="0" w:line="240" w:lineRule="auto"/>
            </w:pPr>
          </w:p>
        </w:tc>
        <w:tc>
          <w:tcPr>
            <w:tcW w:w="12225" w:type="dxa"/>
            <w:hMerge w:val="continue"/>
            <w:vMerge w:val="restart"/>
          </w:tcPr>
          <w:p>
            <w:pPr>
              <w:pStyle w:val="EmptyCellLayoutStyle"/>
              <w:spacing w:after="0" w:line="240" w:lineRule="auto"/>
            </w:pPr>
          </w:p>
        </w:tc>
        <w:tc>
          <w:tcPr>
            <w:tcW w:w="45" w:type="dxa"/>
          </w:tcPr>
          <w:p>
            <w:pPr>
              <w:pStyle w:val="EmptyCellLayoutStyle"/>
              <w:spacing w:after="0" w:line="240" w:lineRule="auto"/>
            </w:pPr>
          </w:p>
        </w:tc>
        <w:tc>
          <w:tcPr>
            <w:tcW w:w="2195" w:type="dxa"/>
            <w:vMerge w:val="continue"/>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45"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438" w:hRule="atLeast"/>
        </w:trPr>
        <w:tc>
          <w:tcPr>
            <w:tcW w:w="344" w:type="dxa"/>
            <w:hMerge w:val="restart"/>
          </w:tcPr>
          <w:tbl>
            <w:tblPr>
              <w:tblCellMar>
                <w:top w:w="0" w:type="dxa"/>
                <w:left w:w="0" w:type="dxa"/>
                <w:bottom w:w="0" w:type="dxa"/>
                <w:right w:w="0" w:type="dxa"/>
              </w:tblCellMar>
            </w:tblPr>
            <w:tblGrid>
              <w:gridCol w:w="15006"/>
            </w:tblGrid>
            <w:tr>
              <w:trPr>
                <w:trHeight w:val="360" w:hRule="atLeast"/>
              </w:trPr>
              <w:tc>
                <w:tcPr>
                  <w:tcW w:w="1500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Comprehensive Progress Report</w:t>
                  </w:r>
                </w:p>
              </w:tc>
            </w:tr>
          </w:tbl>
          <w:p>
            <w:pPr>
              <w:spacing w:after="0" w:line="240" w:lineRule="auto"/>
            </w:pPr>
          </w:p>
        </w:tc>
        <w:tc>
          <w:tcPr>
            <w:tcW w:w="141" w:type="dxa"/>
            <w:hMerge w:val="continue"/>
          </w:tcPr>
          <w:p>
            <w:pPr>
              <w:pStyle w:val="EmptyCellLayoutStyle"/>
              <w:spacing w:after="0" w:line="240" w:lineRule="auto"/>
            </w:pPr>
          </w:p>
        </w:tc>
        <w:tc>
          <w:tcPr>
            <w:tcW w:w="12225" w:type="dxa"/>
            <w:hMerge w:val="continue"/>
          </w:tcPr>
          <w:p>
            <w:pPr>
              <w:pStyle w:val="EmptyCellLayoutStyle"/>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hMerge w:val="continue"/>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80"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c>
          <w:tcPr>
            <w:tcW w:w="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81"/>
              <w:gridCol w:w="14138"/>
            </w:tblGrid>
            <w:tr>
              <w:trPr>
                <w:trHeight w:val="162" w:hRule="atLeast"/>
              </w:trPr>
              <w:tc>
                <w:tcPr>
                  <w:tcW w:w="98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1413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r>
            <w:tr>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Mission:</w:t>
                  </w: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before="199" w:after="199" w:line="240" w:lineRule="auto"/>
                    <w:jc w:val="left"/>
                  </w:pPr>
                  <w:r>
                    <w:rPr>
                      <w:rFonts w:ascii="Calibri" w:hAnsi="Calibri" w:eastAsia="Calibri"/>
                      <w:color w:val="000000"/>
                      <w:sz w:val="22"/>
                    </w:rPr>
                    <w:t xml:space="preserve">We commit to the lifelong success of our students by providing academic and innovative leadership opportunities for our SVS community. </w:t>
                  </w:r>
                </w:p>
              </w:tc>
            </w:tr>
            <w:tr>
              <w:trPr>
                <w:trHeight w:val="307" w:hRule="atLeast"/>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b/>
                      <w:color w:val="000000"/>
                      <w:sz w:val="22"/>
                    </w:rPr>
                    <w:t xml:space="preserve">Vision:</w:t>
                  </w:r>
                </w:p>
                <w:p>
                  <w:pPr>
                    <w:spacing w:after="0" w:line="240" w:lineRule="auto"/>
                    <w:jc w:val="left"/>
                  </w:pP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before="199" w:after="199" w:line="240" w:lineRule="auto"/>
                    <w:jc w:val="left"/>
                  </w:pPr>
                  <w:r>
                    <w:rPr>
                      <w:rFonts w:ascii="Calibri" w:hAnsi="Calibri" w:eastAsia="Calibri"/>
                      <w:color w:val="000000"/>
                      <w:sz w:val="22"/>
                    </w:rPr>
                    <w:t xml:space="preserve">Empowering an innovative community of leaders.  </w:t>
                  </w:r>
                </w:p>
              </w:tc>
            </w:tr>
            <w:tr>
              <w:trPr>
                <w:trHeight w:val="252" w:hRule="atLeast"/>
              </w:trPr>
              <w:tc>
                <w:tcPr>
                  <w:tcW w:w="98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vAlign w:val="center"/>
                </w:tcPr>
                <w:tbl>
                  <w:tblPr>
                    <w:tblCellMar>
                      <w:top w:w="0" w:type="dxa"/>
                      <w:left w:w="0" w:type="dxa"/>
                      <w:bottom w:w="0" w:type="dxa"/>
                      <w:right w:w="0" w:type="dxa"/>
                    </w:tblCellMar>
                  </w:tblPr>
                  <w:tblGrid>
                    <w:gridCol w:w="15040"/>
                  </w:tblGrid>
                  <w:tr>
                    <w:trPr>
                      <w:trHeight w:val="250" w:hRule="exact"/>
                    </w:trPr>
                    <w:tc>
                      <w:tcPr>
                        <w:tcW w:w="15040" w:type="dxa"/>
                        <w:tcMar>
                          <w:top w:w="0" w:type="dxa"/>
                          <w:left w:w="0" w:type="dxa"/>
                          <w:bottom w:w="0" w:type="dxa"/>
                          <w:right w:w="0" w:type="dxa"/>
                        </w:tcMar>
                        <w:vAlign w:val="center"/>
                      </w:tcPr>
                      <w:p>
                        <w:pPr>
                          <w:spacing w:after="0" w:line="240" w:lineRule="auto"/>
                          <w:jc w:val="left"/>
                        </w:pPr>
                        <w:r>
                          <w:rPr>
                            <w:rFonts w:ascii="Calibri" w:hAnsi="Calibri" w:eastAsia="Calibri"/>
                            <w:b/>
                            <w:color w:val="000000"/>
                            <w:sz w:val="22"/>
                          </w:rPr>
                          <w:t xml:space="preserve">Goals:</w:t>
                        </w:r>
                      </w:p>
                    </w:tc>
                  </w:tr>
                </w:tbl>
                <w:p>
                  <w:pPr>
                    <w:spacing w:after="0" w:line="240" w:lineRule="auto"/>
                  </w:pPr>
                </w:p>
              </w:tc>
              <w:tc>
                <w:tcPr>
                  <w:tcW w:w="1413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r>
            <w:tr>
              <w:trPr>
                <w:trHeight w:val="297" w:hRule="atLeast"/>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color w:val="000000"/>
                      <w:sz w:val="22"/>
                    </w:rPr>
                    <w:t xml:space="preserve">Implement clear structures for PLCs surrounding effective planning and aggressive progress monitoring practices in 100% of our 3-5 classrooms </w:t>
                  </w:r>
                </w:p>
              </w:tc>
            </w:tr>
            <w:tr>
              <w:trPr>
                <w:trHeight w:val="297" w:hRule="atLeast"/>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color w:val="000000"/>
                      <w:sz w:val="22"/>
                    </w:rPr>
                    <w:t xml:space="preserve">75% of readers (3-5) will be proficient as demonstrated by grade level expectations by June 2025 as supported by A2.04 (Instructional teams develop standards-aligned units of instruction for each subject and grade level). </w:t>
                  </w:r>
                </w:p>
              </w:tc>
            </w:tr>
            <w:tr>
              <w:trPr>
                <w:trHeight w:val="297" w:hRule="atLeast"/>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color w:val="000000"/>
                      <w:sz w:val="22"/>
                    </w:rPr>
                    <w:t xml:space="preserve">75% of students (3-5) will be proficient in math problem solving by June 2025 as supported by A2.04 (Instructional teams develop standards-aligned units of instruction for each subject and grade level). </w:t>
                  </w:r>
                </w:p>
              </w:tc>
            </w:tr>
            <w:tr>
              <w:trPr>
                <w:trHeight w:val="297" w:hRule="atLeast"/>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color w:val="000000"/>
                      <w:sz w:val="22"/>
                    </w:rPr>
                    <w:t xml:space="preserve">75% of students (5) will be proficient in science standards as measured by the NC Check-ins and EOG by June 2023 as supported by A2.04 (Instructional teams develop standards-aligned units of instruction for each subject and grade level. </w:t>
                  </w:r>
                </w:p>
              </w:tc>
            </w:tr>
          </w:tbl>
          <w:p>
            <w:pPr>
              <w:spacing w:after="0" w:line="240" w:lineRule="auto"/>
            </w:pPr>
          </w:p>
        </w:tc>
        <w:tc>
          <w:tcPr>
            <w:tcW w:w="141" w:type="dxa"/>
            <w:hMerge w:val="continue"/>
          </w:tcPr>
          <w:p>
            <w:pPr>
              <w:pStyle w:val="EmptyCellLayoutStyle"/>
              <w:spacing w:after="0" w:line="240" w:lineRule="auto"/>
            </w:pPr>
          </w:p>
        </w:tc>
        <w:tc>
          <w:tcPr>
            <w:tcW w:w="12225" w:type="dxa"/>
            <w:hMerge w:val="continue"/>
          </w:tcPr>
          <w:p>
            <w:pPr>
              <w:pStyle w:val="EmptyCellLayoutStyle"/>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hMerge w:val="continue"/>
          </w:tcPr>
          <w:p>
            <w:pPr>
              <w:pStyle w:val="EmptyCellLayoutStyle"/>
              <w:spacing w:after="0" w:line="240" w:lineRule="auto"/>
            </w:pPr>
          </w:p>
        </w:tc>
        <w:tc>
          <w:tcPr>
            <w:tcW w:w="114" w:type="dxa"/>
            <w:hMerge w:val="continue"/>
          </w:tcPr>
          <w:p>
            <w:pPr>
              <w:pStyle w:val="EmptyCellLayoutStyle"/>
              <w:spacing w:after="0" w:line="240" w:lineRule="auto"/>
            </w:pPr>
          </w:p>
        </w:tc>
        <w:tc>
          <w:tcPr>
            <w:tcW w:w="11" w:type="dxa"/>
          </w:tcPr>
          <w:p>
            <w:pPr>
              <w:pStyle w:val="EmptyCellLayoutStyle"/>
              <w:spacing w:after="0" w:line="240" w:lineRule="auto"/>
            </w:pPr>
          </w:p>
        </w:tc>
      </w:tr>
      <w:tr>
        <w:trPr>
          <w:trHeight w:val="507"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359" w:hRule="atLeast"/>
        </w:trPr>
        <w:tc>
          <w:tcPr>
            <w:tcW w:w="344"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219072" cy="143765"/>
                  <wp:docPr id="0" name="img2.png"/>
                  <a:graphic>
                    <a:graphicData uri="http://schemas.openxmlformats.org/drawingml/2006/picture">
                      <pic:pic>
                        <pic:nvPicPr>
                          <pic:cNvPr id="1" name="img2.png"/>
                          <pic:cNvPicPr/>
                        </pic:nvPicPr>
                        <pic:blipFill>
                          <a:blip r:embed="rId5" cstate="print"/>
                          <a:stretch>
                            <a:fillRect r="0" b="0"/>
                          </a:stretch>
                        </pic:blipFill>
                        <pic:spPr>
                          <a:xfrm>
                            <a:off x="0" y="0"/>
                            <a:ext cx="219072" cy="143765"/>
                          </a:xfrm>
                          <a:prstGeom prst="rect">
                            <a:avLst/>
                          </a:prstGeom>
                        </pic:spPr>
                      </pic:pic>
                    </a:graphicData>
                  </a:graphic>
                </wp:inline>
              </w:drawing>
            </w:r>
          </w:p>
        </w:tc>
        <w:tc>
          <w:tcPr>
            <w:tcW w:w="141" w:type="dxa"/>
          </w:tcPr>
          <w:p>
            <w:pPr>
              <w:pStyle w:val="EmptyCellLayoutStyle"/>
              <w:spacing w:after="0" w:line="240" w:lineRule="auto"/>
            </w:pPr>
          </w:p>
        </w:tc>
        <w:tc>
          <w:tcPr>
            <w:tcW w:w="12225" w:type="dxa"/>
            <w:hMerge w:val="restart"/>
          </w:tcPr>
          <w:tbl>
            <w:tblPr>
              <w:tblCellMar>
                <w:top w:w="0" w:type="dxa"/>
                <w:left w:w="0" w:type="dxa"/>
                <w:bottom w:w="0" w:type="dxa"/>
                <w:right w:w="0" w:type="dxa"/>
              </w:tblCellMar>
            </w:tblPr>
            <w:tblGrid>
              <w:gridCol w:w="14466"/>
            </w:tblGrid>
            <w:tr>
              <w:trPr>
                <w:trHeight w:val="282" w:hRule="atLeast"/>
              </w:trPr>
              <w:tc>
                <w:tcPr>
                  <w:tcW w:w="1446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  </w:t>
                  </w:r>
                  <w:r>
                    <w:rPr>
                      <w:rFonts w:ascii="Calibri" w:hAnsi="Calibri" w:eastAsia="Calibri"/>
                      <w:color w:val="000000"/>
                      <w:sz w:val="22"/>
                    </w:rPr>
                    <w:t xml:space="preserve"> </w:t>
                  </w:r>
                </w:p>
              </w:tc>
            </w:tr>
          </w:tbl>
          <w:p>
            <w:pPr>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74" w:hRule="atLeast"/>
        </w:trPr>
        <w:tc>
          <w:tcPr>
            <w:tcW w:w="344" w:type="dxa"/>
            <w:vMerge w:val="continue"/>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127"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c>
          <w:tcPr>
            <w:tcW w:w="344" w:type="dxa"/>
            <w:hMerge w:val="restart"/>
          </w:tcPr>
          <w:tbl>
            <w:tblPr>
              <w:tblBorders>
                <w:top w:val="nil" w:color="000000" w:sz="7"/>
                <w:left w:val="nil" w:color="000000" w:sz="7"/>
                <w:bottom w:val="nil" w:color="000000" w:sz="7"/>
                <w:right w:val="nil" w:color="000000" w:sz="7"/>
              </w:tblBorders>
              <w:shd w:val="clear" w:fill="C0C0C0"/>
              <w:tblCellMar>
                <w:top w:w="0" w:type="dxa"/>
                <w:left w:w="0" w:type="dxa"/>
                <w:bottom w:w="0" w:type="dxa"/>
                <w:right w:w="0" w:type="dxa"/>
              </w:tblCellMar>
            </w:tblPr>
            <w:tblGrid>
              <w:gridCol w:w="132"/>
              <w:gridCol w:w="2460"/>
              <w:gridCol w:w="80"/>
              <w:gridCol w:w="2139"/>
              <w:gridCol w:w="10193"/>
            </w:tblGrid>
            <w:tr>
              <w:trPr>
                <w:trHeight w:val="466" w:hRule="atLeast"/>
              </w:trPr>
              <w:tc>
                <w:tcPr>
                  <w:tcW w:w="132" w:type="dxa"/>
                  <w:shd w:val="clear" w:fill="C0C0C0"/>
                </w:tcPr>
                <w:p>
                  <w:pPr>
                    <w:pStyle w:val="EmptyCellLayoutStyle"/>
                    <w:spacing w:after="0" w:line="240" w:lineRule="auto"/>
                  </w:pPr>
                </w:p>
              </w:tc>
              <w:tc>
                <w:tcPr>
                  <w:tcW w:w="2460" w:type="dxa"/>
                  <w:shd w:val="clear" w:fill="C0C0C0"/>
                </w:tcPr>
                <w:tbl>
                  <w:tblPr>
                    <w:tblCellMar>
                      <w:top w:w="0" w:type="dxa"/>
                      <w:left w:w="0" w:type="dxa"/>
                      <w:bottom w:w="0" w:type="dxa"/>
                      <w:right w:w="0" w:type="dxa"/>
                    </w:tblCellMar>
                  </w:tblPr>
                  <w:tblGrid>
                    <w:gridCol w:w="2460"/>
                  </w:tblGrid>
                  <w:tr>
                    <w:trPr>
                      <w:trHeight w:val="388" w:hRule="atLeast"/>
                    </w:trPr>
                    <w:tc>
                      <w:tcPr>
                        <w:tcW w:w="24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2"/>
                          </w:rPr>
                          <w:t xml:space="preserve">! = Past Due Objectives</w:t>
                        </w:r>
                      </w:p>
                    </w:tc>
                  </w:tr>
                </w:tbl>
                <w:p>
                  <w:pPr>
                    <w:spacing w:after="0" w:line="240" w:lineRule="auto"/>
                  </w:pPr>
                </w:p>
              </w:tc>
              <w:tc>
                <w:tcPr>
                  <w:tcW w:w="80" w:type="dxa"/>
                  <w:shd w:val="clear" w:fill="C0C0C0"/>
                </w:tcPr>
                <w:p>
                  <w:pPr>
                    <w:pStyle w:val="EmptyCellLayoutStyle"/>
                    <w:spacing w:after="0" w:line="240" w:lineRule="auto"/>
                  </w:pPr>
                </w:p>
              </w:tc>
              <w:tc>
                <w:tcPr>
                  <w:tcW w:w="2139" w:type="dxa"/>
                  <w:shd w:val="clear" w:fill="C0C0C0"/>
                </w:tcPr>
                <w:tbl>
                  <w:tblPr>
                    <w:tblCellMar>
                      <w:top w:w="0" w:type="dxa"/>
                      <w:left w:w="0" w:type="dxa"/>
                      <w:bottom w:w="0" w:type="dxa"/>
                      <w:right w:w="0" w:type="dxa"/>
                    </w:tblCellMar>
                  </w:tblPr>
                  <w:tblGrid>
                    <w:gridCol w:w="2139"/>
                  </w:tblGrid>
                  <w:tr>
                    <w:trPr>
                      <w:trHeight w:val="388" w:hRule="atLeast"/>
                    </w:trPr>
                    <w:tc>
                      <w:tcPr>
                        <w:tcW w:w="2139"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2"/>
                          </w:rPr>
                          <w:t xml:space="preserve">KEY = Key Indicator</w:t>
                        </w:r>
                      </w:p>
                    </w:tc>
                  </w:tr>
                </w:tbl>
                <w:p>
                  <w:pPr>
                    <w:spacing w:after="0" w:line="240" w:lineRule="auto"/>
                  </w:pPr>
                </w:p>
              </w:tc>
              <w:tc>
                <w:tcPr>
                  <w:tcW w:w="10193" w:type="dxa"/>
                  <w:shd w:val="clear" w:fill="C0C0C0"/>
                </w:tcPr>
                <w:p>
                  <w:pPr>
                    <w:pStyle w:val="EmptyCellLayoutStyle"/>
                    <w:spacing w:after="0" w:line="240" w:lineRule="auto"/>
                  </w:pPr>
                </w:p>
              </w:tc>
            </w:tr>
          </w:tbl>
          <w:p>
            <w:pPr>
              <w:spacing w:after="0" w:line="240" w:lineRule="auto"/>
            </w:pPr>
          </w:p>
        </w:tc>
        <w:tc>
          <w:tcPr>
            <w:tcW w:w="141" w:type="dxa"/>
            <w:hMerge w:val="continue"/>
          </w:tcPr>
          <w:p>
            <w:pPr>
              <w:pStyle w:val="EmptyCellLayoutStyle"/>
              <w:spacing w:after="0" w:line="240" w:lineRule="auto"/>
            </w:pPr>
          </w:p>
        </w:tc>
        <w:tc>
          <w:tcPr>
            <w:tcW w:w="12225" w:type="dxa"/>
            <w:hMerge w:val="continue"/>
          </w:tcPr>
          <w:p>
            <w:pPr>
              <w:pStyle w:val="EmptyCellLayoutStyle"/>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hMerge w:val="continue"/>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80"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c>
          <w:tcPr>
            <w:tcW w:w="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90"/>
              <w:gridCol w:w="490"/>
              <w:gridCol w:w="91"/>
              <w:gridCol w:w="1535"/>
              <w:gridCol w:w="2261"/>
              <w:gridCol w:w="4255"/>
              <w:gridCol w:w="2142"/>
              <w:gridCol w:w="1941"/>
              <w:gridCol w:w="1796"/>
            </w:tblGrid>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1: Turnaround Leadership</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1B: Monitor short-and long-term goals</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D1.02</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LEA/School  has aligned resource allocation (money, time, human resources) within each school's instructional priorities.(5171)</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As part of our SVES beginning-of-year school improvement plan, we included resource allocations such as reading tutors, online resources, professional development, and family engagement.  Many of these resources will be funded by Title I funds.  </w:t>
                  </w:r>
                </w:p>
                <w:p>
                  <w:pPr>
                    <w:spacing w:after="199" w:line="240" w:lineRule="auto"/>
                    <w:jc w:val="left"/>
                  </w:pPr>
                  <w:r>
                    <w:rPr>
                      <w:rFonts w:ascii="Calibri" w:hAnsi="Calibri" w:eastAsia="Calibri"/>
                      <w:color w:val="000000"/>
                      <w:sz w:val="22"/>
                    </w:rPr>
                    <w:t xml:space="preserve">Currently, we have the following allocations aligned with our instructional priorities:</w:t>
                  </w:r>
                </w:p>
                <w:p>
                  <w:pPr>
                    <w:spacing w:after="199" w:line="240" w:lineRule="auto"/>
                    <w:jc w:val="left"/>
                  </w:pPr>
                  <w:r>
                    <w:rPr>
                      <w:rFonts w:ascii="Calibri" w:hAnsi="Calibri" w:eastAsia="Calibri"/>
                      <w:color w:val="000000"/>
                      <w:sz w:val="22"/>
                    </w:rPr>
                    <w:t xml:space="preserve">*3 literacy tutors</w:t>
                  </w:r>
                </w:p>
                <w:p>
                  <w:pPr>
                    <w:spacing w:after="199" w:line="240" w:lineRule="auto"/>
                    <w:jc w:val="left"/>
                  </w:pPr>
                  <w:r>
                    <w:rPr>
                      <w:rFonts w:ascii="Calibri" w:hAnsi="Calibri" w:eastAsia="Calibri"/>
                      <w:color w:val="000000"/>
                      <w:sz w:val="22"/>
                    </w:rPr>
                    <w:t xml:space="preserve">*Reading Master Teacher</w:t>
                  </w:r>
                </w:p>
                <w:p>
                  <w:pPr>
                    <w:spacing w:after="199" w:line="240" w:lineRule="auto"/>
                    <w:jc w:val="left"/>
                  </w:pPr>
                  <w:r>
                    <w:rPr>
                      <w:rFonts w:ascii="Calibri" w:hAnsi="Calibri" w:eastAsia="Calibri"/>
                      <w:color w:val="000000"/>
                      <w:sz w:val="22"/>
                    </w:rPr>
                    <w:t xml:space="preserve">*iReady Math Instruction for all students</w:t>
                  </w:r>
                </w:p>
                <w:p>
                  <w:pPr>
                    <w:spacing w:after="199" w:line="240" w:lineRule="auto"/>
                    <w:jc w:val="left"/>
                  </w:pPr>
                  <w:r>
                    <w:rPr>
                      <w:rFonts w:ascii="Calibri" w:hAnsi="Calibri" w:eastAsia="Calibri"/>
                      <w:color w:val="000000"/>
                      <w:sz w:val="22"/>
                    </w:rPr>
                    <w:t xml:space="preserve">*Lexia Core Reading for all students</w:t>
                  </w:r>
                </w:p>
                <w:p>
                  <w:pPr>
                    <w:spacing w:after="199" w:line="240" w:lineRule="auto"/>
                    <w:jc w:val="left"/>
                  </w:pPr>
                  <w:r>
                    <w:rPr>
                      <w:rFonts w:ascii="Calibri" w:hAnsi="Calibri" w:eastAsia="Calibri"/>
                      <w:color w:val="000000"/>
                      <w:sz w:val="22"/>
                    </w:rPr>
                    <w:t xml:space="preserve">*Plan for staff professional development</w:t>
                  </w:r>
                </w:p>
                <w:p>
                  <w:pPr>
                    <w:spacing w:after="199" w:line="240" w:lineRule="auto"/>
                    <w:jc w:val="left"/>
                  </w:pPr>
                  <w:r>
                    <w:rPr>
                      <w:rFonts w:ascii="Calibri" w:hAnsi="Calibri" w:eastAsia="Calibri"/>
                      <w:color w:val="000000"/>
                      <w:sz w:val="22"/>
                    </w:rPr>
                    <w:t xml:space="preserve">*Plan for family engagement activities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10/10/2023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5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tcBorders>
                    <w:top w:val="single" w:color="E5E5E5" w:sz="7"/>
                    <w:left w:val="single" w:color="E5E5E5"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Priority Score: </w:t>
                  </w:r>
                  <w:r>
                    <w:rPr>
                      <w:rFonts w:ascii="Calibri" w:hAnsi="Calibri" w:eastAsia="Calibri"/>
                      <w:color w:val="4D4D4D"/>
                      <w:sz w:val="22"/>
                    </w:rPr>
                    <w:t xml:space="preserve">2</w:t>
                  </w:r>
                </w:p>
              </w:tc>
              <w:tc>
                <w:tcPr>
                  <w:tcW w:w="4255" w:type="dxa"/>
                  <w:tcBorders>
                    <w:top w:val="single" w:color="E5E5E5" w:sz="7"/>
                    <w:left w:val="nil" w:color="000000"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Opportunity Score: </w:t>
                  </w:r>
                  <w:r>
                    <w:rPr>
                      <w:rFonts w:ascii="Calibri" w:hAnsi="Calibri" w:eastAsia="Calibri"/>
                      <w:color w:val="4D4D4D"/>
                      <w:sz w:val="22"/>
                    </w:rPr>
                    <w:t xml:space="preserve">3</w:t>
                  </w:r>
                </w:p>
              </w:tc>
              <w:tc>
                <w:tcPr>
                  <w:tcW w:w="2142" w:type="dxa"/>
                  <w:tcBorders>
                    <w:top w:val="single" w:color="E5E5E5" w:sz="7"/>
                    <w:left w:val="nil" w:color="000000" w:sz="7"/>
                    <w:bottom w:val="single" w:color="E5E5E5" w:sz="7"/>
                    <w:right w:val="single" w:color="E5E5E5"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Index Score: </w:t>
                  </w:r>
                  <w:r>
                    <w:rPr>
                      <w:rFonts w:ascii="Calibri" w:hAnsi="Calibri" w:eastAsia="Calibri"/>
                      <w:color w:val="4D4D4D"/>
                      <w:sz w:val="22"/>
                    </w:rPr>
                    <w:t xml:space="preserve">6</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will use the following data source to determine student growth and proficiency, as well as the success of tutors and intervention supports:</w:t>
                  </w:r>
                </w:p>
                <w:p>
                  <w:pPr>
                    <w:spacing w:after="199" w:line="240" w:lineRule="auto"/>
                    <w:jc w:val="left"/>
                  </w:pPr>
                  <w:r>
                    <w:rPr>
                      <w:rFonts w:ascii="Calibri" w:hAnsi="Calibri" w:eastAsia="Calibri"/>
                      <w:color w:val="000000"/>
                      <w:sz w:val="22"/>
                    </w:rPr>
                    <w:t xml:space="preserve">*iReady data</w:t>
                  </w:r>
                </w:p>
                <w:p>
                  <w:pPr>
                    <w:spacing w:after="199" w:line="240" w:lineRule="auto"/>
                    <w:jc w:val="left"/>
                  </w:pPr>
                  <w:r>
                    <w:rPr>
                      <w:rFonts w:ascii="Calibri" w:hAnsi="Calibri" w:eastAsia="Calibri"/>
                      <w:color w:val="000000"/>
                      <w:sz w:val="22"/>
                    </w:rPr>
                    <w:t xml:space="preserve">*mClass data</w:t>
                  </w:r>
                </w:p>
                <w:p>
                  <w:pPr>
                    <w:spacing w:after="199" w:line="240" w:lineRule="auto"/>
                    <w:jc w:val="left"/>
                  </w:pPr>
                  <w:r>
                    <w:rPr>
                      <w:rFonts w:ascii="Calibri" w:hAnsi="Calibri" w:eastAsia="Calibri"/>
                      <w:color w:val="000000"/>
                      <w:sz w:val="22"/>
                    </w:rPr>
                    <w:t xml:space="preserve">*Math Tutor tracking data</w:t>
                  </w:r>
                </w:p>
                <w:p>
                  <w:pPr>
                    <w:spacing w:after="199" w:line="240" w:lineRule="auto"/>
                    <w:jc w:val="left"/>
                  </w:pPr>
                  <w:r>
                    <w:rPr>
                      <w:rFonts w:ascii="Calibri" w:hAnsi="Calibri" w:eastAsia="Calibri"/>
                      <w:color w:val="000000"/>
                      <w:sz w:val="22"/>
                    </w:rPr>
                    <w:t xml:space="preserve">*Literacy Tutor tracking data</w:t>
                  </w:r>
                </w:p>
                <w:p>
                  <w:pPr>
                    <w:spacing w:after="199" w:line="240" w:lineRule="auto"/>
                    <w:jc w:val="left"/>
                  </w:pPr>
                  <w:r>
                    <w:rPr>
                      <w:rFonts w:ascii="Calibri" w:hAnsi="Calibri" w:eastAsia="Calibri"/>
                      <w:color w:val="000000"/>
                      <w:sz w:val="22"/>
                    </w:rPr>
                    <w:t xml:space="preserve">*NC Check-In Data</w:t>
                  </w:r>
                </w:p>
                <w:p>
                  <w:pPr>
                    <w:spacing w:after="199" w:line="240" w:lineRule="auto"/>
                    <w:jc w:val="left"/>
                  </w:pPr>
                  <w:r>
                    <w:rPr>
                      <w:rFonts w:ascii="Calibri" w:hAnsi="Calibri" w:eastAsia="Calibri"/>
                      <w:color w:val="000000"/>
                      <w:sz w:val="22"/>
                    </w:rPr>
                    <w:t xml:space="preserve">*EVAAS Proficiencies compared to EOG scores</w:t>
                  </w:r>
                </w:p>
                <w:p>
                  <w:pPr>
                    <w:spacing w:after="199" w:line="240" w:lineRule="auto"/>
                    <w:jc w:val="left"/>
                  </w:pPr>
                  <w:r>
                    <w:rPr>
                      <w:rFonts w:ascii="Calibri" w:hAnsi="Calibri" w:eastAsia="Calibri"/>
                      <w:color w:val="000000"/>
                      <w:sz w:val="22"/>
                    </w:rPr>
                    <w:t xml:space="preserve">*EOG proficiency</w:t>
                  </w:r>
                </w:p>
                <w:p>
                  <w:pPr>
                    <w:spacing w:after="199" w:line="240" w:lineRule="auto"/>
                    <w:jc w:val="left"/>
                  </w:pPr>
                  <w:r>
                    <w:rPr>
                      <w:rFonts w:ascii="Calibri" w:hAnsi="Calibri" w:eastAsia="Calibri"/>
                      <w:color w:val="000000"/>
                      <w:sz w:val="22"/>
                    </w:rPr>
                    <w:t xml:space="preserve">We will know this objective is met when we exceed growth and meet 65% proficiency.  </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Jamee Giers</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 of 3 (0%)</w:t>
                  </w: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10/10/23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Create and maintain tracking sheets for tutors.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Emily Campbell</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10/10/23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Create and maintain sign-in sheets for family engagement events.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Lucy Cifre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9/25/24</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Create and maintain sign-in sheets for professional development.</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Lynsey Fowler</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jc w:val="left"/>
                  </w:pPr>
                  <w:r>
                    <w:rPr>
                      <w:rFonts w:ascii="Calibri" w:hAnsi="Calibri" w:eastAsia="Calibri"/>
                      <w:b/>
                      <w:i/>
                      <w:color w:val="4D4D4D"/>
                      <w:sz w:val="22"/>
                    </w:rPr>
                    <w:t xml:space="preserve">Implementation:</w:t>
                  </w:r>
                </w:p>
              </w:tc>
              <w:tc>
                <w:tcPr>
                  <w:tcW w:w="490"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04/01/2024</w:t>
                  </w:r>
                </w:p>
              </w:tc>
              <w:tc>
                <w:tcPr>
                  <w:tcW w:w="1941"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Evidence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4/1/2024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Experience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4/1/2024 </w:t>
                  </w:r>
                  <w:r>
                    <w:rPr>
                      <w:rFonts w:ascii="Calibri" w:hAnsi="Calibri" w:eastAsia="Calibri"/>
                      <w:color w:val="4D4D4D"/>
                      <w:sz w:val="22"/>
                    </w:rPr>
                    <w:br/>
                    <w:t xml:space="preserve">Our math tutors have a data tracking sheet that they updated weekly with student progress during daily math tutoring sessions.  This data is shared with classroom teachers, as well as the instructional leadership team and MTSS team.  </w:t>
                  </w:r>
                  <w:r>
                    <w:rPr>
                      <w:rFonts w:ascii="Calibri" w:hAnsi="Calibri" w:eastAsia="Calibri"/>
                      <w:color w:val="4D4D4D"/>
                      <w:sz w:val="22"/>
                    </w:rPr>
                    <w:br/>
                    <w:t xml:space="preserve">Our extended day tutors maintain a data tracking sheet to track the progress of students attending after-school tutoring.  This data is shared with homeroom teachers, our instructional leadership team, and our MTSS team.  </w:t>
                  </w:r>
                  <w:r>
                    <w:rPr>
                      <w:rFonts w:ascii="Calibri" w:hAnsi="Calibri" w:eastAsia="Calibri"/>
                      <w:color w:val="4D4D4D"/>
                      <w:sz w:val="22"/>
                    </w:rPr>
                    <w:br/>
                    <w:t xml:space="preserve">Our literacy tutor maintains a data tracking sheet to share student progress with the teachers and support team.  </w:t>
                  </w:r>
                  <w:r>
                    <w:rPr>
                      <w:rFonts w:ascii="Calibri" w:hAnsi="Calibri" w:eastAsia="Calibri"/>
                      <w:color w:val="4D4D4D"/>
                      <w:sz w:val="22"/>
                    </w:rPr>
                    <w:br/>
                    <w:t xml:space="preserve">The school has developed a data dashboard.  This dashboard includes NC Check-in data, EOG data, EOG projections, and what students are receiving additional tutoring support.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Sustainability</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4/1/2024 </w:t>
                  </w:r>
                  <w:r>
                    <w:rPr>
                      <w:rFonts w:ascii="Calibri" w:hAnsi="Calibri" w:eastAsia="Calibri"/>
                      <w:color w:val="4D4D4D"/>
                      <w:sz w:val="22"/>
                    </w:rPr>
                    <w:br/>
                    <w:t xml:space="preserve">Teachers, tutors, and the instructional leadership team will need to continue to maintain the data sheets.  The teams will need to regularly review the data sheets to identify what supports are working and what areas need to be adjusted.  The team will continue to utilize the data trackers to determine MTSS needs.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2: Talent Development</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2B: Target professional learning opportunities</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C2.01</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LEA/School regularly looks at school performance data and aggregated classroom observation data and uses that data to make decisions about school improvement and professional development needs.(5159)</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The SVS Team is continuing data systems to ensure alignment with progress monitoring measures to ensure student growth:</w:t>
                  </w:r>
                </w:p>
                <w:p>
                  <w:pPr>
                    <w:spacing w:after="199" w:line="240" w:lineRule="auto"/>
                    <w:jc w:val="left"/>
                  </w:pPr>
                  <w:r>
                    <w:rPr>
                      <w:rFonts w:ascii="Calibri" w:hAnsi="Calibri" w:eastAsia="Calibri"/>
                      <w:color w:val="000000"/>
                      <w:sz w:val="22"/>
                    </w:rPr>
                    <w:t xml:space="preserve">-Progress monitoring (upcoming 3-5 math probes)</w:t>
                  </w:r>
                </w:p>
                <w:p>
                  <w:pPr>
                    <w:spacing w:after="199" w:line="240" w:lineRule="auto"/>
                    <w:jc w:val="left"/>
                  </w:pPr>
                  <w:r>
                    <w:rPr>
                      <w:rFonts w:ascii="Calibri" w:hAnsi="Calibri" w:eastAsia="Calibri"/>
                      <w:color w:val="000000"/>
                      <w:sz w:val="22"/>
                    </w:rPr>
                    <w:t xml:space="preserve">-4Dx model (3-5)</w:t>
                  </w:r>
                </w:p>
                <w:p>
                  <w:pPr>
                    <w:spacing w:after="199" w:line="240" w:lineRule="auto"/>
                    <w:jc w:val="left"/>
                  </w:pPr>
                  <w:r>
                    <w:rPr>
                      <w:rFonts w:ascii="Calibri" w:hAnsi="Calibri" w:eastAsia="Calibri"/>
                      <w:color w:val="000000"/>
                      <w:sz w:val="22"/>
                    </w:rPr>
                    <w:t xml:space="preserve">-Continue MTSS protocols (3-5)</w:t>
                  </w:r>
                </w:p>
                <w:p>
                  <w:pPr>
                    <w:spacing w:after="199" w:line="240" w:lineRule="auto"/>
                    <w:jc w:val="left"/>
                  </w:pPr>
                  <w:r>
                    <w:rPr>
                      <w:rFonts w:ascii="Calibri" w:hAnsi="Calibri" w:eastAsia="Calibri"/>
                      <w:color w:val="000000"/>
                      <w:sz w:val="22"/>
                    </w:rPr>
                  </w:r>
                  <w:r>
                    <w:rPr>
                      <w:rFonts w:ascii="Calibri" w:hAnsi="Calibri" w:eastAsia="Calibri"/>
                      <w:color w:val="000000"/>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No Development</w:t>
                  </w:r>
                  <w:r>
                    <w:rPr>
                      <w:rFonts w:ascii="Calibri" w:hAnsi="Calibri" w:eastAsia="Calibri"/>
                      <w:color w:val="00B050"/>
                      <w:sz w:val="22"/>
                    </w:rPr>
                    <w:t xml:space="preserve"> </w:t>
                  </w:r>
                  <w:r>
                    <w:rPr>
                      <w:rFonts w:ascii="Calibri" w:hAnsi="Calibri" w:eastAsia="Calibri"/>
                      <w:color w:val="000000"/>
                      <w:sz w:val="22"/>
                    </w:rPr>
                    <w:t xml:space="preserve">10/07/2019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5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tcBorders>
                    <w:top w:val="single" w:color="E5E5E5" w:sz="7"/>
                    <w:left w:val="single" w:color="E5E5E5"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Priority Score: </w:t>
                  </w:r>
                  <w:r>
                    <w:rPr>
                      <w:rFonts w:ascii="Calibri" w:hAnsi="Calibri" w:eastAsia="Calibri"/>
                      <w:color w:val="4D4D4D"/>
                      <w:sz w:val="22"/>
                    </w:rPr>
                    <w:t xml:space="preserve">3</w:t>
                  </w:r>
                </w:p>
              </w:tc>
              <w:tc>
                <w:tcPr>
                  <w:tcW w:w="4255" w:type="dxa"/>
                  <w:tcBorders>
                    <w:top w:val="single" w:color="E5E5E5" w:sz="7"/>
                    <w:left w:val="nil" w:color="000000"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Opportunity Score: </w:t>
                  </w:r>
                  <w:r>
                    <w:rPr>
                      <w:rFonts w:ascii="Calibri" w:hAnsi="Calibri" w:eastAsia="Calibri"/>
                      <w:color w:val="4D4D4D"/>
                      <w:sz w:val="22"/>
                    </w:rPr>
                    <w:t xml:space="preserve">3</w:t>
                  </w:r>
                </w:p>
              </w:tc>
              <w:tc>
                <w:tcPr>
                  <w:tcW w:w="2142" w:type="dxa"/>
                  <w:tcBorders>
                    <w:top w:val="single" w:color="E5E5E5" w:sz="7"/>
                    <w:left w:val="nil" w:color="000000" w:sz="7"/>
                    <w:bottom w:val="single" w:color="E5E5E5" w:sz="7"/>
                    <w:right w:val="single" w:color="E5E5E5"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Index Score: </w:t>
                  </w:r>
                  <w:r>
                    <w:rPr>
                      <w:rFonts w:ascii="Calibri" w:hAnsi="Calibri" w:eastAsia="Calibri"/>
                      <w:color w:val="4D4D4D"/>
                      <w:sz w:val="22"/>
                    </w:rPr>
                    <w:t xml:space="preserve">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The aligned systems across </w:t>
                  </w:r>
                  <w:r>
                    <w:rPr>
                      <w:rFonts w:ascii="Calibri" w:hAnsi="Calibri" w:eastAsia="Calibri"/>
                      <w:color w:val="000000"/>
                      <w:sz w:val="22"/>
                    </w:rPr>
                    <w:t xml:space="preserve">SVS will include:</w:t>
                  </w:r>
                </w:p>
                <w:p>
                  <w:pPr>
                    <w:spacing w:after="199" w:line="240" w:lineRule="auto"/>
                    <w:jc w:val="left"/>
                  </w:pPr>
                  <w:r>
                    <w:rPr>
                      <w:rFonts w:ascii="Calibri" w:hAnsi="Calibri" w:eastAsia="Calibri"/>
                      <w:color w:val="000000"/>
                      <w:sz w:val="22"/>
                    </w:rPr>
                    <w:t xml:space="preserve">*Progress Monitoring Math Probes</w:t>
                  </w:r>
                </w:p>
                <w:p>
                  <w:pPr>
                    <w:spacing w:after="199" w:line="240" w:lineRule="auto"/>
                    <w:jc w:val="left"/>
                  </w:pPr>
                  <w:r>
                    <w:rPr>
                      <w:rFonts w:ascii="Calibri" w:hAnsi="Calibri" w:eastAsia="Calibri"/>
                      <w:color w:val="000000"/>
                      <w:sz w:val="22"/>
                    </w:rPr>
                    <w:t xml:space="preserve">* 4DX</w:t>
                  </w:r>
                </w:p>
                <w:p>
                  <w:pPr>
                    <w:spacing w:after="199" w:line="240" w:lineRule="auto"/>
                    <w:jc w:val="left"/>
                  </w:pPr>
                  <w:r>
                    <w:rPr>
                      <w:rFonts w:ascii="Calibri" w:hAnsi="Calibri" w:eastAsia="Calibri"/>
                      <w:color w:val="000000"/>
                      <w:sz w:val="22"/>
                    </w:rPr>
                    <w:t xml:space="preserve">*mClass</w:t>
                  </w:r>
                </w:p>
                <w:p>
                  <w:pPr>
                    <w:spacing w:after="199" w:line="240" w:lineRule="auto"/>
                    <w:jc w:val="left"/>
                  </w:pPr>
                  <w:r>
                    <w:rPr>
                      <w:rFonts w:ascii="Calibri" w:hAnsi="Calibri" w:eastAsia="Calibri"/>
                      <w:color w:val="000000"/>
                      <w:sz w:val="22"/>
                    </w:rPr>
                    <w:t xml:space="preserve">*iReady</w:t>
                  </w:r>
                </w:p>
                <w:p>
                  <w:pPr>
                    <w:spacing w:after="199" w:line="240" w:lineRule="auto"/>
                    <w:jc w:val="left"/>
                  </w:pPr>
                  <w:r>
                    <w:rPr>
                      <w:rFonts w:ascii="Calibri" w:hAnsi="Calibri" w:eastAsia="Calibri"/>
                      <w:color w:val="000000"/>
                      <w:sz w:val="22"/>
                    </w:rPr>
                    <w:t xml:space="preserve">*MTSS data in ECATS</w:t>
                  </w:r>
                </w:p>
                <w:p>
                  <w:pPr>
                    <w:spacing w:after="199" w:line="240" w:lineRule="auto"/>
                    <w:jc w:val="left"/>
                  </w:pPr>
                  <w:r>
                    <w:rPr>
                      <w:rFonts w:ascii="Calibri" w:hAnsi="Calibri" w:eastAsia="Calibri"/>
                      <w:color w:val="000000"/>
                      <w:sz w:val="22"/>
                    </w:rPr>
                  </w:r>
                  <w:r>
                    <w:rPr>
                      <w:rFonts w:ascii="Calibri" w:hAnsi="Calibri" w:eastAsia="Calibri"/>
                      <w:color w:val="000000"/>
                      <w:sz w:val="22"/>
                    </w:rPr>
                    <w:br/>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Lori Robinette</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 of 2 (0%)</w:t>
                  </w: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10/10/23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SVES teachers and support staff will analyze data weekly during PLC to identify student needs and  plan instruction aligned to students' needs.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Jamee Giers</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10/10/23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SVES teachers and staff will track student data in a weekly/biweekly tracking form as well as track NC Check In data, mClass data, iReady data, and compare student progress with EVAAS projections.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Jamee Giers</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jc w:val="left"/>
                  </w:pPr>
                  <w:r>
                    <w:rPr>
                      <w:rFonts w:ascii="Calibri" w:hAnsi="Calibri" w:eastAsia="Calibri"/>
                      <w:b/>
                      <w:i/>
                      <w:color w:val="4D4D4D"/>
                      <w:sz w:val="22"/>
                    </w:rPr>
                    <w:t xml:space="preserve">Implementation:</w:t>
                  </w:r>
                </w:p>
              </w:tc>
              <w:tc>
                <w:tcPr>
                  <w:tcW w:w="490"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11/10/2021</w:t>
                  </w:r>
                </w:p>
              </w:tc>
              <w:tc>
                <w:tcPr>
                  <w:tcW w:w="1941"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Evidence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06/09/2021</w:t>
                  </w:r>
                  <w:r>
                    <w:rPr>
                      <w:rFonts w:ascii="Calibri" w:hAnsi="Calibri" w:eastAsia="Calibri"/>
                      <w:color w:val="4D4D4D"/>
                      <w:sz w:val="22"/>
                    </w:rPr>
                    <w:br/>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Experience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06/09/2021</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Sustainability</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06/09/2021</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3: Instructional Transformation</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3A: Diagnose and respond to student learning needs</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A4.01</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school implements a tiered instructional system that allows teachers to deliver evidence-based instruction aligned with the individual needs of students across all tiers.(5117)</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New platform for enterting data for MTSS will be implemented (ECATS)</w:t>
                  </w:r>
                </w:p>
                <w:p>
                  <w:pPr>
                    <w:spacing w:after="199" w:line="240" w:lineRule="auto"/>
                    <w:jc w:val="left"/>
                  </w:pPr>
                  <w:r>
                    <w:rPr>
                      <w:rFonts w:ascii="Calibri" w:hAnsi="Calibri" w:eastAsia="Calibri"/>
                      <w:color w:val="000000"/>
                      <w:sz w:val="22"/>
                    </w:rPr>
                    <w:t xml:space="preserve">New implementation of MTSS literacy flowchart</w:t>
                  </w:r>
                </w:p>
                <w:p>
                  <w:pPr>
                    <w:spacing w:after="199" w:line="240" w:lineRule="auto"/>
                    <w:jc w:val="left"/>
                  </w:pPr>
                  <w:r>
                    <w:rPr>
                      <w:rFonts w:ascii="Calibri" w:hAnsi="Calibri" w:eastAsia="Calibri"/>
                      <w:color w:val="000000"/>
                      <w:sz w:val="22"/>
                    </w:rPr>
                    <w:t xml:space="preserve">New data decision rules agreed upon by PLC</w:t>
                  </w:r>
                </w:p>
                <w:p>
                  <w:pPr>
                    <w:spacing w:after="199" w:line="240" w:lineRule="auto"/>
                    <w:jc w:val="left"/>
                  </w:pPr>
                  <w:r>
                    <w:rPr>
                      <w:rFonts w:ascii="Calibri" w:hAnsi="Calibri" w:eastAsia="Calibri"/>
                      <w:color w:val="000000"/>
                      <w:sz w:val="22"/>
                    </w:rPr>
                    <w:t xml:space="preserve">Expectations and deadlines for progress monitoring are clearly defined</w:t>
                  </w:r>
                </w:p>
                <w:p>
                  <w:pPr>
                    <w:spacing w:after="199" w:line="240" w:lineRule="auto"/>
                    <w:jc w:val="left"/>
                  </w:pPr>
                  <w:r>
                    <w:rPr>
                      <w:rFonts w:ascii="Calibri" w:hAnsi="Calibri" w:eastAsia="Calibri"/>
                      <w:color w:val="000000"/>
                      <w:sz w:val="22"/>
                    </w:rPr>
                    <w:t xml:space="preserve">PLCs will analyze data and plan core Tier 1 instruction that supports the growth and academic proficiency of students.</w:t>
                  </w:r>
                </w:p>
                <w:p>
                  <w:pPr>
                    <w:spacing w:after="199" w:line="240" w:lineRule="auto"/>
                    <w:jc w:val="left"/>
                  </w:pPr>
                  <w:r>
                    <w:rPr>
                      <w:rFonts w:ascii="Calibri" w:hAnsi="Calibri" w:eastAsia="Calibri"/>
                      <w:color w:val="000000"/>
                      <w:sz w:val="22"/>
                    </w:rPr>
                    <w:t xml:space="preserve">PLCs will analyze to data and plan small-group instruction that supports the growth and academic proficiency of students. </w:t>
                  </w:r>
                </w:p>
                <w:p>
                  <w:pPr>
                    <w:spacing w:after="199" w:line="240" w:lineRule="auto"/>
                    <w:jc w:val="left"/>
                  </w:pPr>
                  <w:r>
                    <w:rPr>
                      <w:rFonts w:ascii="Calibri" w:hAnsi="Calibri" w:eastAsia="Calibri"/>
                      <w:color w:val="000000"/>
                      <w:sz w:val="22"/>
                    </w:rPr>
                  </w:r>
                  <w:r>
                    <w:rPr>
                      <w:rFonts w:ascii="Calibri" w:hAnsi="Calibri" w:eastAsia="Calibri"/>
                      <w:color w:val="000000"/>
                      <w:sz w:val="22"/>
                    </w:rPr>
                    <w:br/>
                  </w:r>
                </w:p>
                <w:p>
                  <w:pPr>
                    <w:spacing w:after="199" w:line="240" w:lineRule="auto"/>
                    <w:jc w:val="left"/>
                  </w:pPr>
                  <w:r>
                    <w:rPr>
                      <w:rFonts w:ascii="Calibri" w:hAnsi="Calibri" w:eastAsia="Calibri"/>
                      <w:color w:val="000000"/>
                      <w:sz w:val="22"/>
                    </w:rPr>
                  </w:r>
                  <w:r>
                    <w:rPr>
                      <w:rFonts w:ascii="Calibri" w:hAnsi="Calibri" w:eastAsia="Calibri"/>
                      <w:color w:val="000000"/>
                      <w:sz w:val="22"/>
                    </w:rPr>
                    <w:br/>
                  </w:r>
                </w:p>
                <w:p>
                  <w:pPr>
                    <w:spacing w:after="199" w:line="240" w:lineRule="auto"/>
                    <w:jc w:val="left"/>
                  </w:pPr>
                  <w:r>
                    <w:rPr>
                      <w:rFonts w:ascii="Calibri" w:hAnsi="Calibri" w:eastAsia="Calibri"/>
                      <w:color w:val="000000"/>
                      <w:sz w:val="22"/>
                    </w:rPr>
                  </w:r>
                  <w:r>
                    <w:rPr>
                      <w:rFonts w:ascii="Calibri" w:hAnsi="Calibri" w:eastAsia="Calibri"/>
                      <w:color w:val="000000"/>
                      <w:sz w:val="22"/>
                    </w:rPr>
                    <w:br/>
                  </w:r>
                </w:p>
                <w:p>
                  <w:pPr>
                    <w:spacing w:after="199" w:line="240" w:lineRule="auto"/>
                    <w:jc w:val="left"/>
                  </w:pPr>
                  <w:r>
                    <w:rPr>
                      <w:rFonts w:ascii="Calibri" w:hAnsi="Calibri" w:eastAsia="Calibri"/>
                      <w:color w:val="000000"/>
                      <w:sz w:val="22"/>
                    </w:rPr>
                  </w:r>
                  <w:r>
                    <w:rPr>
                      <w:rFonts w:ascii="Calibri" w:hAnsi="Calibri" w:eastAsia="Calibri"/>
                      <w:color w:val="000000"/>
                      <w:sz w:val="22"/>
                    </w:rPr>
                    <w:br/>
                  </w:r>
                </w:p>
                <w:p>
                  <w:pPr>
                    <w:spacing w:after="199" w:line="240" w:lineRule="auto"/>
                    <w:jc w:val="left"/>
                  </w:pPr>
                  <w:r>
                    <w:rPr>
                      <w:rFonts w:ascii="Calibri" w:hAnsi="Calibri" w:eastAsia="Calibri"/>
                      <w:color w:val="000000"/>
                      <w:sz w:val="22"/>
                    </w:rPr>
                  </w:r>
                  <w:r>
                    <w:rPr>
                      <w:rFonts w:ascii="Calibri" w:hAnsi="Calibri" w:eastAsia="Calibri"/>
                      <w:color w:val="000000"/>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10/04/2019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5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tcBorders>
                    <w:top w:val="single" w:color="E5E5E5" w:sz="7"/>
                    <w:left w:val="single" w:color="E5E5E5"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Priority Score: </w:t>
                  </w:r>
                  <w:r>
                    <w:rPr>
                      <w:rFonts w:ascii="Calibri" w:hAnsi="Calibri" w:eastAsia="Calibri"/>
                      <w:color w:val="4D4D4D"/>
                      <w:sz w:val="22"/>
                    </w:rPr>
                    <w:t xml:space="preserve">3</w:t>
                  </w:r>
                </w:p>
              </w:tc>
              <w:tc>
                <w:tcPr>
                  <w:tcW w:w="4255" w:type="dxa"/>
                  <w:tcBorders>
                    <w:top w:val="single" w:color="E5E5E5" w:sz="7"/>
                    <w:left w:val="nil" w:color="000000"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Opportunity Score: </w:t>
                  </w:r>
                  <w:r>
                    <w:rPr>
                      <w:rFonts w:ascii="Calibri" w:hAnsi="Calibri" w:eastAsia="Calibri"/>
                      <w:color w:val="4D4D4D"/>
                      <w:sz w:val="22"/>
                    </w:rPr>
                    <w:t xml:space="preserve">3</w:t>
                  </w:r>
                </w:p>
              </w:tc>
              <w:tc>
                <w:tcPr>
                  <w:tcW w:w="2142" w:type="dxa"/>
                  <w:tcBorders>
                    <w:top w:val="single" w:color="E5E5E5" w:sz="7"/>
                    <w:left w:val="nil" w:color="000000" w:sz="7"/>
                    <w:bottom w:val="single" w:color="E5E5E5" w:sz="7"/>
                    <w:right w:val="single" w:color="E5E5E5"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Index Score: </w:t>
                  </w:r>
                  <w:r>
                    <w:rPr>
                      <w:rFonts w:ascii="Calibri" w:hAnsi="Calibri" w:eastAsia="Calibri"/>
                      <w:color w:val="4D4D4D"/>
                      <w:sz w:val="22"/>
                    </w:rPr>
                    <w:t xml:space="preserve">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Full implementation of MTSS intervention process will result in small group plans to be used for small group time during reading and math. </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Elizabeth Griffin</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 of 4 (0%)</w:t>
                  </w: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10/14/19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Admin and IC will conduct walk throughs to monitor for MTSS implementation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Elizabeth Griffin</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11/10/21</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PLCs will gather data and work to identify students in need of additional supports. They will use the MTSS intervention process and data decision rules to implement plans to meet the needs of each student</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Elizabeth Griffin</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10/6/22</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Teachers will participate in MTSS intervention process training. They will learn how to identify at risk students based on grade level data and how to identify specific student needs through this process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Monica McGinniss</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10/6/22</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Teachers participate in tier meetings to track student progress and assess intervention progress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Monica McGinniss</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jc w:val="left"/>
                  </w:pPr>
                  <w:r>
                    <w:rPr>
                      <w:rFonts w:ascii="Calibri" w:hAnsi="Calibri" w:eastAsia="Calibri"/>
                      <w:b/>
                      <w:i/>
                      <w:color w:val="4D4D4D"/>
                      <w:sz w:val="22"/>
                    </w:rPr>
                    <w:t xml:space="preserve">Implementation:</w:t>
                  </w:r>
                </w:p>
              </w:tc>
              <w:tc>
                <w:tcPr>
                  <w:tcW w:w="490"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11/10/2021</w:t>
                  </w:r>
                </w:p>
              </w:tc>
              <w:tc>
                <w:tcPr>
                  <w:tcW w:w="1941"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Evidence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11/17/2020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Experience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11/17/2020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Sustainability</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11/17/2020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3: Instructional Transformation</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3B: Provide rigorous evidence-based instruction</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A1.07</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ALL teachers employ effective classroom management and reinforce classroom rules and procedures by positively teaching them.(5088)</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The PBIS model is implemented with partial fidelity in the Shiloh Valley Schools. We have not had the CHAMPS/Foundations training at this time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10/07/2019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5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tcBorders>
                    <w:top w:val="single" w:color="E5E5E5" w:sz="7"/>
                    <w:left w:val="single" w:color="E5E5E5"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Priority Score: </w:t>
                  </w:r>
                  <w:r>
                    <w:rPr>
                      <w:rFonts w:ascii="Calibri" w:hAnsi="Calibri" w:eastAsia="Calibri"/>
                      <w:color w:val="4D4D4D"/>
                      <w:sz w:val="22"/>
                    </w:rPr>
                    <w:t xml:space="preserve">3</w:t>
                  </w:r>
                </w:p>
              </w:tc>
              <w:tc>
                <w:tcPr>
                  <w:tcW w:w="4255" w:type="dxa"/>
                  <w:tcBorders>
                    <w:top w:val="single" w:color="E5E5E5" w:sz="7"/>
                    <w:left w:val="nil" w:color="000000"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Opportunity Score: </w:t>
                  </w:r>
                  <w:r>
                    <w:rPr>
                      <w:rFonts w:ascii="Calibri" w:hAnsi="Calibri" w:eastAsia="Calibri"/>
                      <w:color w:val="4D4D4D"/>
                      <w:sz w:val="22"/>
                    </w:rPr>
                    <w:t xml:space="preserve">3</w:t>
                  </w:r>
                </w:p>
              </w:tc>
              <w:tc>
                <w:tcPr>
                  <w:tcW w:w="2142" w:type="dxa"/>
                  <w:tcBorders>
                    <w:top w:val="single" w:color="E5E5E5" w:sz="7"/>
                    <w:left w:val="nil" w:color="000000" w:sz="7"/>
                    <w:bottom w:val="single" w:color="E5E5E5" w:sz="7"/>
                    <w:right w:val="single" w:color="E5E5E5"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Index Score: </w:t>
                  </w:r>
                  <w:r>
                    <w:rPr>
                      <w:rFonts w:ascii="Calibri" w:hAnsi="Calibri" w:eastAsia="Calibri"/>
                      <w:color w:val="4D4D4D"/>
                      <w:sz w:val="22"/>
                    </w:rPr>
                    <w:t xml:space="preserve">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PBIS will be consistently implemented across all grade levels. Teachers will employ these effective practices from PBIS and CHAMPS/Foundations to reinforce rules and procedures for consistency throughout the school. </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Objective Met</w:t>
                  </w:r>
                </w:p>
                <w:p>
                  <w:pPr>
                    <w:spacing w:after="0" w:line="240" w:lineRule="auto"/>
                    <w:jc w:val="center"/>
                  </w:pPr>
                  <w:r>
                    <w:rPr>
                      <w:rFonts w:ascii="Calibri" w:hAnsi="Calibri" w:eastAsia="Calibri"/>
                      <w:b/>
                      <w:color w:val="000000"/>
                      <w:sz w:val="22"/>
                    </w:rPr>
                    <w:t xml:space="preserve">09/25/24</w:t>
                  </w: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Elizabeth Griffin</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06/09/2024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11/10/21</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Data will be maintained on classroom and office referrals through Educator's Handbook and shared with staff at meetings.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06/07/2023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Elizabeth Griffin</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06/09/2023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Office discipline referrals 21-22 = 435, school year 22-23 = 287</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11/10/21</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Visual PBIS displays will be posted throughout the school.</w:t>
                  </w:r>
                  <w:r>
                    <w:rPr>
                      <w:rFonts w:ascii="Calibri" w:hAnsi="Calibri" w:eastAsia="Calibri"/>
                      <w:color w:val="4D4D4D"/>
                      <w:sz w:val="22"/>
                    </w:rPr>
                    <w:br/>
                  </w:r>
                  <w:r>
                    <w:rPr>
                      <w:rFonts w:ascii="Calibri" w:hAnsi="Calibri" w:eastAsia="Calibri"/>
                      <w:color w:val="4D4D4D"/>
                      <w:sz w:val="22"/>
                    </w:rPr>
                    <w:br/>
                    <w:t xml:space="preserve">See folder: https://drive.google.com/drive/folders/114_9wJ-TlhRftNJrXyzyf2xAHvHQ0tqj?usp=sharing</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06/07/2023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Elizabeth Griffin</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06/09/2023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all areas have posters</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10/6/22</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All staff will participate in CHAMPS/Foundations training and implement practices throughout the school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06/07/2024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Elizabeth Griffin</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06/09/2024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Waiting on more training from county</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jc w:val="left"/>
                  </w:pPr>
                  <w:r>
                    <w:rPr>
                      <w:rFonts w:ascii="Calibri" w:hAnsi="Calibri" w:eastAsia="Calibri"/>
                      <w:b/>
                      <w:i/>
                      <w:color w:val="4D4D4D"/>
                      <w:sz w:val="22"/>
                    </w:rPr>
                    <w:t xml:space="preserve">Implementation:</w:t>
                  </w:r>
                </w:p>
              </w:tc>
              <w:tc>
                <w:tcPr>
                  <w:tcW w:w="490"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09/25/2024</w:t>
                  </w:r>
                </w:p>
              </w:tc>
              <w:tc>
                <w:tcPr>
                  <w:tcW w:w="1941"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Evidence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6/11/2023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Experience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6/11/2023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Sustainability</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6/11/2023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3: Instructional Transformation</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3C: Remove barriers and provide opportunities</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A4.16</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school develops and implements consistent, intentional, and on-going plans to support student transitions for grade-to-grade and level-to-level.(5134)</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Second to third grade transition plan is as follows: </w:t>
                  </w:r>
                </w:p>
                <w:p>
                  <w:pPr>
                    <w:numPr>
                      <w:ilvl w:val="0"/>
                      <w:numId w:val="1"/>
                    </w:numPr>
                    <w:spacing w:after="0" w:line="240" w:lineRule="auto"/>
                    <w:ind w:left="720" w:hanging="360"/>
                    <w:jc w:val="left"/>
                  </w:pPr>
                  <w:r>
                    <w:rPr>
                      <w:rFonts w:ascii="Calibri" w:hAnsi="Calibri" w:eastAsia="Calibri"/>
                      <w:color w:val="000000"/>
                      <w:sz w:val="22"/>
                    </w:rPr>
                    <w:t xml:space="preserve">Vertical planning of second and third grade teams </w:t>
                  </w:r>
                </w:p>
                <w:p>
                  <w:pPr>
                    <w:numPr>
                      <w:ilvl w:val="0"/>
                      <w:numId w:val="1"/>
                    </w:numPr>
                    <w:spacing w:after="0" w:line="240" w:lineRule="auto"/>
                    <w:ind w:left="720" w:hanging="360"/>
                    <w:jc w:val="left"/>
                  </w:pPr>
                  <w:r>
                    <w:rPr>
                      <w:rFonts w:ascii="Calibri" w:hAnsi="Calibri" w:eastAsia="Calibri"/>
                      <w:color w:val="000000"/>
                      <w:sz w:val="22"/>
                    </w:rPr>
                    <w:t xml:space="preserve">Alignment of curriculum (literacy/math) </w:t>
                  </w:r>
                </w:p>
                <w:p>
                  <w:pPr>
                    <w:numPr>
                      <w:ilvl w:val="0"/>
                      <w:numId w:val="1"/>
                    </w:numPr>
                    <w:spacing w:after="0" w:line="240" w:lineRule="auto"/>
                    <w:ind w:left="720" w:hanging="360"/>
                    <w:jc w:val="left"/>
                  </w:pPr>
                  <w:r>
                    <w:rPr>
                      <w:rFonts w:ascii="Calibri" w:hAnsi="Calibri" w:eastAsia="Calibri"/>
                      <w:color w:val="000000"/>
                      <w:sz w:val="22"/>
                    </w:rPr>
                    <w:t xml:space="preserve">Elementary admin and counselor visit classrooms at the end of the year to support student transition </w:t>
                  </w:r>
                </w:p>
                <w:p>
                  <w:pPr>
                    <w:numPr>
                      <w:ilvl w:val="0"/>
                      <w:numId w:val="1"/>
                    </w:numPr>
                    <w:spacing w:after="0" w:line="240" w:lineRule="auto"/>
                    <w:ind w:left="720" w:hanging="360"/>
                    <w:jc w:val="left"/>
                  </w:pPr>
                  <w:r>
                    <w:rPr>
                      <w:rFonts w:ascii="Calibri" w:hAnsi="Calibri" w:eastAsia="Calibri"/>
                      <w:color w:val="000000"/>
                      <w:sz w:val="22"/>
                    </w:rPr>
                    <w:t xml:space="preserve">Second grade classrooms "cross the valley" day, to visit third grade classrooms and complete a building tour</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10/07/2019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5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tcBorders>
                    <w:top w:val="single" w:color="E5E5E5" w:sz="7"/>
                    <w:left w:val="single" w:color="E5E5E5"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Priority Score: </w:t>
                  </w:r>
                  <w:r>
                    <w:rPr>
                      <w:rFonts w:ascii="Calibri" w:hAnsi="Calibri" w:eastAsia="Calibri"/>
                      <w:color w:val="4D4D4D"/>
                      <w:sz w:val="22"/>
                    </w:rPr>
                    <w:t xml:space="preserve">3</w:t>
                  </w:r>
                </w:p>
              </w:tc>
              <w:tc>
                <w:tcPr>
                  <w:tcW w:w="4255" w:type="dxa"/>
                  <w:tcBorders>
                    <w:top w:val="single" w:color="E5E5E5" w:sz="7"/>
                    <w:left w:val="nil" w:color="000000"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Opportunity Score: </w:t>
                  </w:r>
                  <w:r>
                    <w:rPr>
                      <w:rFonts w:ascii="Calibri" w:hAnsi="Calibri" w:eastAsia="Calibri"/>
                      <w:color w:val="4D4D4D"/>
                      <w:sz w:val="22"/>
                    </w:rPr>
                    <w:t xml:space="preserve">3</w:t>
                  </w:r>
                </w:p>
              </w:tc>
              <w:tc>
                <w:tcPr>
                  <w:tcW w:w="2142" w:type="dxa"/>
                  <w:tcBorders>
                    <w:top w:val="single" w:color="E5E5E5" w:sz="7"/>
                    <w:left w:val="nil" w:color="000000" w:sz="7"/>
                    <w:bottom w:val="single" w:color="E5E5E5" w:sz="7"/>
                    <w:right w:val="single" w:color="E5E5E5"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Index Score: </w:t>
                  </w:r>
                  <w:r>
                    <w:rPr>
                      <w:rFonts w:ascii="Calibri" w:hAnsi="Calibri" w:eastAsia="Calibri"/>
                      <w:color w:val="4D4D4D"/>
                      <w:sz w:val="22"/>
                    </w:rPr>
                    <w:t xml:space="preserve">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The transition plan from 2nd to 3rd grade will include cross grade level planning, events to celebrate transition from one building to another, teacher visits, and reading and math data to indicate growth from 2nd-3rd grade.</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Objective Met</w:t>
                  </w:r>
                </w:p>
                <w:p>
                  <w:pPr>
                    <w:spacing w:after="0" w:line="240" w:lineRule="auto"/>
                    <w:jc w:val="center"/>
                  </w:pPr>
                  <w:r>
                    <w:rPr>
                      <w:rFonts w:ascii="Calibri" w:hAnsi="Calibri" w:eastAsia="Calibri"/>
                      <w:b/>
                      <w:color w:val="000000"/>
                      <w:sz w:val="22"/>
                    </w:rPr>
                    <w:t xml:space="preserve">09/27/24</w:t>
                  </w: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Monica McGinniss</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06/07/2024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10/10/23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Counselors will schedule meetings to support students' transition to the new building.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04/15/2024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Monica McGinniss</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04/15/2024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10/10/23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EC team will schedule meetings with the primary building EC team to support with the transition of IEP plans.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06/10/2024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Elizabeth Griffin</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05/01/2024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10/10/23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The school counselor will schedule a meeting with the primary building counselor to support with transitioning 504 plans.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06/10/2024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Monica McGinniss</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05/01/2024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jc w:val="left"/>
                  </w:pPr>
                  <w:r>
                    <w:rPr>
                      <w:rFonts w:ascii="Calibri" w:hAnsi="Calibri" w:eastAsia="Calibri"/>
                      <w:b/>
                      <w:i/>
                      <w:color w:val="4D4D4D"/>
                      <w:sz w:val="22"/>
                    </w:rPr>
                    <w:t xml:space="preserve">Implementation:</w:t>
                  </w:r>
                </w:p>
              </w:tc>
              <w:tc>
                <w:tcPr>
                  <w:tcW w:w="490"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09/27/2024</w:t>
                  </w:r>
                </w:p>
              </w:tc>
              <w:tc>
                <w:tcPr>
                  <w:tcW w:w="1941"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Evidence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9/27/2024 </w:t>
                  </w:r>
                  <w:r>
                    <w:rPr>
                      <w:rFonts w:ascii="Calibri" w:hAnsi="Calibri" w:eastAsia="Calibri"/>
                      <w:color w:val="4D4D4D"/>
                      <w:sz w:val="22"/>
                    </w:rPr>
                    <w:br/>
                    <w:t xml:space="preserve">Meetings were scheduled for both 504 reviews and IEPs.  The 2nd graders visited our third grade classrooms.  We also offered summer tours for families new to our building.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Experience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9/27/2024 </w:t>
                  </w:r>
                  <w:r>
                    <w:rPr>
                      <w:rFonts w:ascii="Calibri" w:hAnsi="Calibri" w:eastAsia="Calibri"/>
                      <w:color w:val="4D4D4D"/>
                      <w:sz w:val="22"/>
                    </w:rPr>
                    <w:br/>
                    <w:t xml:space="preserve">Our school counselors, EC team, and 2nd and 3rd grade teams worked together to create a plan to support with the transition of students from the primary building to the elementary building.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Sustainability</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9/27/2024 </w:t>
                  </w:r>
                  <w:r>
                    <w:rPr>
                      <w:rFonts w:ascii="Calibri" w:hAnsi="Calibri" w:eastAsia="Calibri"/>
                      <w:color w:val="4D4D4D"/>
                      <w:sz w:val="22"/>
                    </w:rPr>
                    <w:br/>
                    <w:t xml:space="preserve">The team will continue the plan to have 2nd graders visit the elementary building, as well as EC teams from each building will meet to discuss students transitioning over.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bl>
          <w:p>
            <w:pPr>
              <w:spacing w:after="0" w:line="240" w:lineRule="auto"/>
            </w:pPr>
          </w:p>
        </w:tc>
        <w:tc>
          <w:tcPr>
            <w:tcW w:w="141" w:type="dxa"/>
            <w:hMerge w:val="continue"/>
          </w:tcPr>
          <w:p>
            <w:pPr>
              <w:pStyle w:val="EmptyCellLayoutStyle"/>
              <w:spacing w:after="0" w:line="240" w:lineRule="auto"/>
            </w:pPr>
          </w:p>
        </w:tc>
        <w:tc>
          <w:tcPr>
            <w:tcW w:w="12225" w:type="dxa"/>
            <w:hMerge w:val="continue"/>
          </w:tcPr>
          <w:p>
            <w:pPr>
              <w:pStyle w:val="EmptyCellLayoutStyle"/>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hMerge w:val="continue"/>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bl>
    <w:p>
      <w:pPr>
        <w:spacing w:after="0" w:line="240" w:lineRule="auto"/>
      </w:pPr>
    </w:p>
    <w:sectPr w:rsidRPr="" w:rsidDel="" w:rsidR="" w:rsidSect="">
      <w:pgSz w:w="15839" w:h="12239" w:orient="landscape"/>
      <w:pgMar w:top="283" w:right="283" w:bottom="283" w:left="283" w:header="" w:footer="" w:gutter=""/>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image" Target="/word/media/img2.png"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ComprehensiveReport</dc:title>
</cp:coreProperties>
</file>